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9A4F" w14:textId="004B6FAD" w:rsidR="00D3636F" w:rsidRDefault="00D3636F" w:rsidP="00D3636F">
      <w:r>
        <w:rPr>
          <w:noProof/>
          <w:lang w:eastAsia="en-GB"/>
        </w:rPr>
        <mc:AlternateContent>
          <mc:Choice Requires="wps">
            <w:drawing>
              <wp:anchor distT="0" distB="0" distL="114300" distR="114300" simplePos="0" relativeHeight="251659264" behindDoc="0" locked="0" layoutInCell="1" allowOverlap="1" wp14:anchorId="73098CF3" wp14:editId="102B04C6">
                <wp:simplePos x="0" y="0"/>
                <wp:positionH relativeFrom="column">
                  <wp:posOffset>3674110</wp:posOffset>
                </wp:positionH>
                <wp:positionV relativeFrom="paragraph">
                  <wp:posOffset>-764540</wp:posOffset>
                </wp:positionV>
                <wp:extent cx="2634615" cy="2523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52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967F7" w14:textId="77777777" w:rsidR="00D3636F" w:rsidRDefault="00D3636F" w:rsidP="00FA096B">
                            <w:pPr>
                              <w:spacing w:after="0"/>
                              <w:jc w:val="right"/>
                              <w:rPr>
                                <w:rFonts w:ascii="Arial" w:hAnsi="Arial" w:cs="Arial"/>
                                <w:b/>
                                <w:bCs/>
                                <w:color w:val="1F497D"/>
                                <w:sz w:val="16"/>
                                <w:szCs w:val="16"/>
                              </w:rPr>
                            </w:pPr>
                            <w:r>
                              <w:rPr>
                                <w:rFonts w:ascii="Arial" w:hAnsi="Arial" w:cs="Arial"/>
                                <w:b/>
                                <w:bCs/>
                                <w:color w:val="1F497D"/>
                                <w:sz w:val="16"/>
                                <w:szCs w:val="16"/>
                              </w:rPr>
                              <w:t>John Kerr</w:t>
                            </w:r>
                          </w:p>
                          <w:p w14:paraId="265640DB" w14:textId="77777777" w:rsidR="00D3636F" w:rsidRPr="00327C22" w:rsidRDefault="00D3636F" w:rsidP="00D3636F">
                            <w:pPr>
                              <w:jc w:val="right"/>
                              <w:rPr>
                                <w:rFonts w:ascii="Arial" w:hAnsi="Arial" w:cs="Arial"/>
                                <w:b/>
                                <w:bCs/>
                                <w:color w:val="1F497D"/>
                                <w:sz w:val="16"/>
                                <w:szCs w:val="16"/>
                              </w:rPr>
                            </w:pPr>
                            <w:r>
                              <w:rPr>
                                <w:rFonts w:ascii="Arial" w:hAnsi="Arial" w:cs="Arial"/>
                                <w:b/>
                                <w:bCs/>
                                <w:color w:val="1F497D"/>
                                <w:sz w:val="16"/>
                                <w:szCs w:val="16"/>
                              </w:rPr>
                              <w:t>Co-Chair</w:t>
                            </w:r>
                          </w:p>
                          <w:p w14:paraId="5602C808" w14:textId="77777777" w:rsidR="00D3636F" w:rsidRPr="00327C22" w:rsidRDefault="00D3636F" w:rsidP="00D3636F">
                            <w:pPr>
                              <w:jc w:val="right"/>
                              <w:rPr>
                                <w:rFonts w:ascii="Arial" w:hAnsi="Arial" w:cs="Arial"/>
                                <w:b/>
                                <w:bCs/>
                                <w:color w:val="1F497D"/>
                                <w:sz w:val="16"/>
                                <w:szCs w:val="16"/>
                              </w:rPr>
                            </w:pPr>
                            <w:r w:rsidRPr="00327C22">
                              <w:rPr>
                                <w:rFonts w:ascii="Arial" w:hAnsi="Arial" w:cs="Arial"/>
                                <w:b/>
                                <w:bCs/>
                                <w:color w:val="1F497D"/>
                                <w:sz w:val="16"/>
                                <w:szCs w:val="16"/>
                              </w:rPr>
                              <w:t xml:space="preserve"> </w:t>
                            </w:r>
                            <w:r w:rsidRPr="00FA7812">
                              <w:rPr>
                                <w:rFonts w:ascii="Arial" w:hAnsi="Arial" w:cs="Arial"/>
                                <w:b/>
                                <w:bCs/>
                                <w:color w:val="1F497D"/>
                                <w:sz w:val="16"/>
                                <w:szCs w:val="16"/>
                              </w:rPr>
                              <w:t>Housing Development and Homelessness Manager</w:t>
                            </w:r>
                          </w:p>
                          <w:p w14:paraId="43C0B6C5"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West Dunbartonshire Council</w:t>
                            </w:r>
                          </w:p>
                          <w:p w14:paraId="53307191" w14:textId="77777777" w:rsidR="00D3636F" w:rsidRPr="008B1A3F" w:rsidRDefault="00AE2831" w:rsidP="00D3636F">
                            <w:pPr>
                              <w:jc w:val="right"/>
                              <w:rPr>
                                <w:rStyle w:val="Hyperlink"/>
                                <w:rFonts w:cs="Arial"/>
                                <w:sz w:val="16"/>
                                <w:szCs w:val="16"/>
                              </w:rPr>
                            </w:pPr>
                            <w:hyperlink r:id="rId8" w:history="1">
                              <w:r w:rsidR="00D3636F" w:rsidRPr="008B1A3F">
                                <w:rPr>
                                  <w:rStyle w:val="Hyperlink"/>
                                  <w:rFonts w:ascii="Arial" w:hAnsi="Arial" w:cs="Arial"/>
                                  <w:b/>
                                  <w:bCs/>
                                  <w:sz w:val="16"/>
                                  <w:szCs w:val="16"/>
                                </w:rPr>
                                <w:t>john.kerr@west-dunbarton.gov.uk</w:t>
                              </w:r>
                            </w:hyperlink>
                          </w:p>
                          <w:p w14:paraId="7C9F70CD"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John Mills</w:t>
                            </w:r>
                          </w:p>
                          <w:p w14:paraId="0BB76E99"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Co-Chair</w:t>
                            </w:r>
                          </w:p>
                          <w:p w14:paraId="171A9C75"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Head of Housing Services</w:t>
                            </w:r>
                          </w:p>
                          <w:p w14:paraId="72F0E2CF" w14:textId="77777777" w:rsidR="00D3636F" w:rsidRPr="00327C22" w:rsidRDefault="00D3636F" w:rsidP="00D3636F">
                            <w:pPr>
                              <w:jc w:val="right"/>
                              <w:rPr>
                                <w:rFonts w:ascii="Arial" w:hAnsi="Arial" w:cs="Arial"/>
                                <w:b/>
                                <w:bCs/>
                                <w:color w:val="1F497D"/>
                                <w:sz w:val="16"/>
                                <w:szCs w:val="16"/>
                              </w:rPr>
                            </w:pPr>
                            <w:r>
                              <w:rPr>
                                <w:rFonts w:ascii="Arial" w:hAnsi="Arial" w:cs="Arial"/>
                                <w:b/>
                                <w:bCs/>
                                <w:color w:val="1F497D"/>
                                <w:sz w:val="16"/>
                                <w:szCs w:val="16"/>
                              </w:rPr>
                              <w:t>Fife Council</w:t>
                            </w:r>
                          </w:p>
                          <w:p w14:paraId="1E3A02C8" w14:textId="77777777" w:rsidR="00D3636F" w:rsidRDefault="00AE2831" w:rsidP="00D3636F">
                            <w:pPr>
                              <w:jc w:val="right"/>
                              <w:rPr>
                                <w:rFonts w:ascii="Arial" w:hAnsi="Arial" w:cs="Arial"/>
                                <w:b/>
                                <w:bCs/>
                                <w:color w:val="1F497D"/>
                                <w:sz w:val="16"/>
                                <w:szCs w:val="16"/>
                              </w:rPr>
                            </w:pPr>
                            <w:hyperlink r:id="rId9" w:history="1">
                              <w:r w:rsidR="00D3636F" w:rsidRPr="004C1C28">
                                <w:rPr>
                                  <w:rStyle w:val="Hyperlink"/>
                                  <w:rFonts w:ascii="Arial" w:hAnsi="Arial" w:cs="Arial"/>
                                  <w:b/>
                                  <w:bCs/>
                                  <w:sz w:val="16"/>
                                  <w:szCs w:val="16"/>
                                </w:rPr>
                                <w:t>John.mills@fife.gov.uk</w:t>
                              </w:r>
                            </w:hyperlink>
                            <w:r w:rsidR="00D3636F">
                              <w:rPr>
                                <w:rFonts w:ascii="Arial" w:hAnsi="Arial" w:cs="Arial"/>
                                <w:b/>
                                <w:bCs/>
                                <w:color w:val="1F497D"/>
                                <w:sz w:val="16"/>
                                <w:szCs w:val="16"/>
                              </w:rPr>
                              <w:t xml:space="preserve"> </w:t>
                            </w:r>
                          </w:p>
                          <w:p w14:paraId="32897592" w14:textId="77777777" w:rsidR="00D3636F" w:rsidRPr="002843D4" w:rsidRDefault="00D3636F" w:rsidP="00D3636F">
                            <w:pPr>
                              <w:jc w:val="right"/>
                              <w:rPr>
                                <w:rFonts w:ascii="Arial" w:hAnsi="Arial" w:cs="Arial"/>
                                <w:b/>
                                <w:bCs/>
                                <w:color w:val="1F497D"/>
                                <w:sz w:val="16"/>
                                <w:szCs w:val="16"/>
                              </w:rPr>
                            </w:pPr>
                            <w:r w:rsidRPr="002843D4">
                              <w:rPr>
                                <w:rFonts w:ascii="Arial" w:hAnsi="Arial" w:cs="Arial"/>
                                <w:b/>
                                <w:bCs/>
                                <w:color w:val="1F497D"/>
                                <w:sz w:val="16"/>
                                <w:szCs w:val="16"/>
                              </w:rPr>
                              <w:t xml:space="preserve"> </w:t>
                            </w:r>
                          </w:p>
                          <w:p w14:paraId="5E701D61"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Tony Cain</w:t>
                            </w:r>
                          </w:p>
                          <w:p w14:paraId="0E240D0D" w14:textId="77777777" w:rsidR="00D3636F" w:rsidRPr="002843D4" w:rsidRDefault="00D3636F" w:rsidP="00D3636F">
                            <w:pPr>
                              <w:jc w:val="right"/>
                              <w:rPr>
                                <w:rFonts w:ascii="Arial" w:hAnsi="Arial" w:cs="Arial"/>
                                <w:b/>
                                <w:bCs/>
                                <w:color w:val="1F497D"/>
                                <w:sz w:val="16"/>
                                <w:szCs w:val="16"/>
                              </w:rPr>
                            </w:pPr>
                            <w:r>
                              <w:rPr>
                                <w:rFonts w:ascii="Arial" w:hAnsi="Arial" w:cs="Arial"/>
                                <w:b/>
                                <w:bCs/>
                                <w:color w:val="1F497D"/>
                                <w:sz w:val="16"/>
                                <w:szCs w:val="16"/>
                              </w:rPr>
                              <w:t xml:space="preserve"> </w:t>
                            </w:r>
                            <w:r w:rsidRPr="002843D4">
                              <w:rPr>
                                <w:rFonts w:ascii="Arial" w:hAnsi="Arial" w:cs="Arial"/>
                                <w:b/>
                                <w:bCs/>
                                <w:color w:val="1F497D"/>
                                <w:sz w:val="16"/>
                                <w:szCs w:val="16"/>
                              </w:rPr>
                              <w:t>(ALACHO Policy Manager)</w:t>
                            </w:r>
                          </w:p>
                          <w:p w14:paraId="18155409" w14:textId="77777777" w:rsidR="00D3636F" w:rsidRDefault="00D3636F" w:rsidP="00D3636F">
                            <w:pPr>
                              <w:jc w:val="right"/>
                              <w:rPr>
                                <w:rFonts w:ascii="Arial" w:hAnsi="Arial" w:cs="Arial"/>
                                <w:b/>
                                <w:bCs/>
                                <w:color w:val="1F497D"/>
                                <w:sz w:val="16"/>
                                <w:szCs w:val="16"/>
                              </w:rPr>
                            </w:pPr>
                            <w:r w:rsidRPr="002843D4">
                              <w:rPr>
                                <w:rFonts w:ascii="Arial" w:hAnsi="Arial" w:cs="Arial"/>
                                <w:b/>
                                <w:bCs/>
                                <w:color w:val="1F497D"/>
                                <w:sz w:val="16"/>
                                <w:szCs w:val="16"/>
                              </w:rPr>
                              <w:t xml:space="preserve"> </w:t>
                            </w:r>
                            <w:hyperlink r:id="rId10" w:history="1">
                              <w:r w:rsidRPr="0071416A">
                                <w:rPr>
                                  <w:rStyle w:val="Hyperlink"/>
                                  <w:rFonts w:ascii="Arial" w:hAnsi="Arial" w:cs="Arial"/>
                                  <w:b/>
                                  <w:bCs/>
                                  <w:sz w:val="16"/>
                                  <w:szCs w:val="16"/>
                                </w:rPr>
                                <w:t>tony.cain@alacho.org</w:t>
                              </w:r>
                            </w:hyperlink>
                          </w:p>
                          <w:p w14:paraId="0545AC79" w14:textId="77777777" w:rsidR="00D3636F" w:rsidRPr="002843D4" w:rsidRDefault="00D3636F" w:rsidP="00D3636F">
                            <w:pPr>
                              <w:jc w:val="right"/>
                              <w:rPr>
                                <w:rFonts w:ascii="Arial" w:hAnsi="Arial" w:cs="Arial"/>
                                <w:b/>
                                <w:bCs/>
                                <w:color w:val="1F497D"/>
                                <w:sz w:val="16"/>
                                <w:szCs w:val="16"/>
                              </w:rPr>
                            </w:pPr>
                            <w:r>
                              <w:rPr>
                                <w:rFonts w:ascii="Arial" w:hAnsi="Arial" w:cs="Arial"/>
                                <w:b/>
                                <w:bCs/>
                                <w:color w:val="1F497D"/>
                                <w:sz w:val="16"/>
                                <w:szCs w:val="16"/>
                              </w:rPr>
                              <w:t>Mobile:   07908460989</w:t>
                            </w:r>
                          </w:p>
                          <w:p w14:paraId="5CF65135" w14:textId="77777777" w:rsidR="00D3636F" w:rsidRPr="002843D4" w:rsidRDefault="00D3636F" w:rsidP="00D3636F">
                            <w:pPr>
                              <w:jc w:val="right"/>
                              <w:rPr>
                                <w:rFonts w:ascii="Arial" w:hAnsi="Arial" w:cs="Arial"/>
                                <w:b/>
                                <w:bCs/>
                                <w:color w:val="1F497D"/>
                                <w:sz w:val="16"/>
                                <w:szCs w:val="16"/>
                              </w:rPr>
                            </w:pPr>
                          </w:p>
                          <w:p w14:paraId="70964162" w14:textId="77777777" w:rsidR="00D3636F" w:rsidRPr="002843D4" w:rsidRDefault="00D3636F" w:rsidP="00D3636F">
                            <w:pPr>
                              <w:rPr>
                                <w:rFonts w:ascii="Arial" w:hAnsi="Arial" w:cs="Arial"/>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8CF3" id="_x0000_t202" coordsize="21600,21600" o:spt="202" path="m,l,21600r21600,l21600,xe">
                <v:stroke joinstyle="miter"/>
                <v:path gradientshapeok="t" o:connecttype="rect"/>
              </v:shapetype>
              <v:shape id="Text Box 2" o:spid="_x0000_s1026" type="#_x0000_t202" style="position:absolute;margin-left:289.3pt;margin-top:-60.2pt;width:207.45pt;height:1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" filled="f" stroked="f">
                <v:textbox>
                  <w:txbxContent>
                    <w:p w14:paraId="253967F7" w14:textId="77777777" w:rsidR="00D3636F" w:rsidRDefault="00D3636F" w:rsidP="00FA096B">
                      <w:pPr>
                        <w:spacing w:after="0"/>
                        <w:jc w:val="right"/>
                        <w:rPr>
                          <w:rFonts w:ascii="Arial" w:hAnsi="Arial" w:cs="Arial"/>
                          <w:b/>
                          <w:bCs/>
                          <w:color w:val="1F497D"/>
                          <w:sz w:val="16"/>
                          <w:szCs w:val="16"/>
                        </w:rPr>
                      </w:pPr>
                      <w:r>
                        <w:rPr>
                          <w:rFonts w:ascii="Arial" w:hAnsi="Arial" w:cs="Arial"/>
                          <w:b/>
                          <w:bCs/>
                          <w:color w:val="1F497D"/>
                          <w:sz w:val="16"/>
                          <w:szCs w:val="16"/>
                        </w:rPr>
                        <w:t>John Kerr</w:t>
                      </w:r>
                    </w:p>
                    <w:p w14:paraId="265640DB" w14:textId="77777777" w:rsidR="00D3636F" w:rsidRPr="00327C22" w:rsidRDefault="00D3636F" w:rsidP="00D3636F">
                      <w:pPr>
                        <w:jc w:val="right"/>
                        <w:rPr>
                          <w:rFonts w:ascii="Arial" w:hAnsi="Arial" w:cs="Arial"/>
                          <w:b/>
                          <w:bCs/>
                          <w:color w:val="1F497D"/>
                          <w:sz w:val="16"/>
                          <w:szCs w:val="16"/>
                        </w:rPr>
                      </w:pPr>
                      <w:r>
                        <w:rPr>
                          <w:rFonts w:ascii="Arial" w:hAnsi="Arial" w:cs="Arial"/>
                          <w:b/>
                          <w:bCs/>
                          <w:color w:val="1F497D"/>
                          <w:sz w:val="16"/>
                          <w:szCs w:val="16"/>
                        </w:rPr>
                        <w:t>Co-Chair</w:t>
                      </w:r>
                    </w:p>
                    <w:p w14:paraId="5602C808" w14:textId="77777777" w:rsidR="00D3636F" w:rsidRPr="00327C22" w:rsidRDefault="00D3636F" w:rsidP="00D3636F">
                      <w:pPr>
                        <w:jc w:val="right"/>
                        <w:rPr>
                          <w:rFonts w:ascii="Arial" w:hAnsi="Arial" w:cs="Arial"/>
                          <w:b/>
                          <w:bCs/>
                          <w:color w:val="1F497D"/>
                          <w:sz w:val="16"/>
                          <w:szCs w:val="16"/>
                        </w:rPr>
                      </w:pPr>
                      <w:r w:rsidRPr="00327C22">
                        <w:rPr>
                          <w:rFonts w:ascii="Arial" w:hAnsi="Arial" w:cs="Arial"/>
                          <w:b/>
                          <w:bCs/>
                          <w:color w:val="1F497D"/>
                          <w:sz w:val="16"/>
                          <w:szCs w:val="16"/>
                        </w:rPr>
                        <w:t xml:space="preserve"> </w:t>
                      </w:r>
                      <w:r w:rsidRPr="00FA7812">
                        <w:rPr>
                          <w:rFonts w:ascii="Arial" w:hAnsi="Arial" w:cs="Arial"/>
                          <w:b/>
                          <w:bCs/>
                          <w:color w:val="1F497D"/>
                          <w:sz w:val="16"/>
                          <w:szCs w:val="16"/>
                        </w:rPr>
                        <w:t>Housing Development and Homelessness Manager</w:t>
                      </w:r>
                    </w:p>
                    <w:p w14:paraId="43C0B6C5"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West Dunbartonshire Council</w:t>
                      </w:r>
                    </w:p>
                    <w:p w14:paraId="53307191" w14:textId="77777777" w:rsidR="00D3636F" w:rsidRPr="008B1A3F" w:rsidRDefault="00AE2831" w:rsidP="00D3636F">
                      <w:pPr>
                        <w:jc w:val="right"/>
                        <w:rPr>
                          <w:rStyle w:val="Hyperlink"/>
                          <w:rFonts w:cs="Arial"/>
                          <w:sz w:val="16"/>
                          <w:szCs w:val="16"/>
                        </w:rPr>
                      </w:pPr>
                      <w:hyperlink r:id="rId11" w:history="1">
                        <w:r w:rsidR="00D3636F" w:rsidRPr="008B1A3F">
                          <w:rPr>
                            <w:rStyle w:val="Hyperlink"/>
                            <w:rFonts w:ascii="Arial" w:hAnsi="Arial" w:cs="Arial"/>
                            <w:b/>
                            <w:bCs/>
                            <w:sz w:val="16"/>
                            <w:szCs w:val="16"/>
                          </w:rPr>
                          <w:t>john.kerr@west-dunbarton.gov.uk</w:t>
                        </w:r>
                      </w:hyperlink>
                    </w:p>
                    <w:p w14:paraId="7C9F70CD"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John Mills</w:t>
                      </w:r>
                    </w:p>
                    <w:p w14:paraId="0BB76E99"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Co-Chair</w:t>
                      </w:r>
                    </w:p>
                    <w:p w14:paraId="171A9C75"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Head of Housing Services</w:t>
                      </w:r>
                    </w:p>
                    <w:p w14:paraId="72F0E2CF" w14:textId="77777777" w:rsidR="00D3636F" w:rsidRPr="00327C22" w:rsidRDefault="00D3636F" w:rsidP="00D3636F">
                      <w:pPr>
                        <w:jc w:val="right"/>
                        <w:rPr>
                          <w:rFonts w:ascii="Arial" w:hAnsi="Arial" w:cs="Arial"/>
                          <w:b/>
                          <w:bCs/>
                          <w:color w:val="1F497D"/>
                          <w:sz w:val="16"/>
                          <w:szCs w:val="16"/>
                        </w:rPr>
                      </w:pPr>
                      <w:r>
                        <w:rPr>
                          <w:rFonts w:ascii="Arial" w:hAnsi="Arial" w:cs="Arial"/>
                          <w:b/>
                          <w:bCs/>
                          <w:color w:val="1F497D"/>
                          <w:sz w:val="16"/>
                          <w:szCs w:val="16"/>
                        </w:rPr>
                        <w:t>Fife Council</w:t>
                      </w:r>
                    </w:p>
                    <w:p w14:paraId="1E3A02C8" w14:textId="77777777" w:rsidR="00D3636F" w:rsidRDefault="00AE2831" w:rsidP="00D3636F">
                      <w:pPr>
                        <w:jc w:val="right"/>
                        <w:rPr>
                          <w:rFonts w:ascii="Arial" w:hAnsi="Arial" w:cs="Arial"/>
                          <w:b/>
                          <w:bCs/>
                          <w:color w:val="1F497D"/>
                          <w:sz w:val="16"/>
                          <w:szCs w:val="16"/>
                        </w:rPr>
                      </w:pPr>
                      <w:hyperlink r:id="rId12" w:history="1">
                        <w:r w:rsidR="00D3636F" w:rsidRPr="004C1C28">
                          <w:rPr>
                            <w:rStyle w:val="Hyperlink"/>
                            <w:rFonts w:ascii="Arial" w:hAnsi="Arial" w:cs="Arial"/>
                            <w:b/>
                            <w:bCs/>
                            <w:sz w:val="16"/>
                            <w:szCs w:val="16"/>
                          </w:rPr>
                          <w:t>John.mills@fife.gov.uk</w:t>
                        </w:r>
                      </w:hyperlink>
                      <w:r w:rsidR="00D3636F">
                        <w:rPr>
                          <w:rFonts w:ascii="Arial" w:hAnsi="Arial" w:cs="Arial"/>
                          <w:b/>
                          <w:bCs/>
                          <w:color w:val="1F497D"/>
                          <w:sz w:val="16"/>
                          <w:szCs w:val="16"/>
                        </w:rPr>
                        <w:t xml:space="preserve"> </w:t>
                      </w:r>
                    </w:p>
                    <w:p w14:paraId="32897592" w14:textId="77777777" w:rsidR="00D3636F" w:rsidRPr="002843D4" w:rsidRDefault="00D3636F" w:rsidP="00D3636F">
                      <w:pPr>
                        <w:jc w:val="right"/>
                        <w:rPr>
                          <w:rFonts w:ascii="Arial" w:hAnsi="Arial" w:cs="Arial"/>
                          <w:b/>
                          <w:bCs/>
                          <w:color w:val="1F497D"/>
                          <w:sz w:val="16"/>
                          <w:szCs w:val="16"/>
                        </w:rPr>
                      </w:pPr>
                      <w:r w:rsidRPr="002843D4">
                        <w:rPr>
                          <w:rFonts w:ascii="Arial" w:hAnsi="Arial" w:cs="Arial"/>
                          <w:b/>
                          <w:bCs/>
                          <w:color w:val="1F497D"/>
                          <w:sz w:val="16"/>
                          <w:szCs w:val="16"/>
                        </w:rPr>
                        <w:t xml:space="preserve"> </w:t>
                      </w:r>
                    </w:p>
                    <w:p w14:paraId="5E701D61" w14:textId="77777777" w:rsidR="00D3636F" w:rsidRDefault="00D3636F" w:rsidP="00D3636F">
                      <w:pPr>
                        <w:jc w:val="right"/>
                        <w:rPr>
                          <w:rFonts w:ascii="Arial" w:hAnsi="Arial" w:cs="Arial"/>
                          <w:b/>
                          <w:bCs/>
                          <w:color w:val="1F497D"/>
                          <w:sz w:val="16"/>
                          <w:szCs w:val="16"/>
                        </w:rPr>
                      </w:pPr>
                      <w:r>
                        <w:rPr>
                          <w:rFonts w:ascii="Arial" w:hAnsi="Arial" w:cs="Arial"/>
                          <w:b/>
                          <w:bCs/>
                          <w:color w:val="1F497D"/>
                          <w:sz w:val="16"/>
                          <w:szCs w:val="16"/>
                        </w:rPr>
                        <w:t>Tony Cain</w:t>
                      </w:r>
                    </w:p>
                    <w:p w14:paraId="0E240D0D" w14:textId="77777777" w:rsidR="00D3636F" w:rsidRPr="002843D4" w:rsidRDefault="00D3636F" w:rsidP="00D3636F">
                      <w:pPr>
                        <w:jc w:val="right"/>
                        <w:rPr>
                          <w:rFonts w:ascii="Arial" w:hAnsi="Arial" w:cs="Arial"/>
                          <w:b/>
                          <w:bCs/>
                          <w:color w:val="1F497D"/>
                          <w:sz w:val="16"/>
                          <w:szCs w:val="16"/>
                        </w:rPr>
                      </w:pPr>
                      <w:r>
                        <w:rPr>
                          <w:rFonts w:ascii="Arial" w:hAnsi="Arial" w:cs="Arial"/>
                          <w:b/>
                          <w:bCs/>
                          <w:color w:val="1F497D"/>
                          <w:sz w:val="16"/>
                          <w:szCs w:val="16"/>
                        </w:rPr>
                        <w:t xml:space="preserve"> </w:t>
                      </w:r>
                      <w:r w:rsidRPr="002843D4">
                        <w:rPr>
                          <w:rFonts w:ascii="Arial" w:hAnsi="Arial" w:cs="Arial"/>
                          <w:b/>
                          <w:bCs/>
                          <w:color w:val="1F497D"/>
                          <w:sz w:val="16"/>
                          <w:szCs w:val="16"/>
                        </w:rPr>
                        <w:t>(ALACHO Policy Manager)</w:t>
                      </w:r>
                    </w:p>
                    <w:p w14:paraId="18155409" w14:textId="77777777" w:rsidR="00D3636F" w:rsidRDefault="00D3636F" w:rsidP="00D3636F">
                      <w:pPr>
                        <w:jc w:val="right"/>
                        <w:rPr>
                          <w:rFonts w:ascii="Arial" w:hAnsi="Arial" w:cs="Arial"/>
                          <w:b/>
                          <w:bCs/>
                          <w:color w:val="1F497D"/>
                          <w:sz w:val="16"/>
                          <w:szCs w:val="16"/>
                        </w:rPr>
                      </w:pPr>
                      <w:r w:rsidRPr="002843D4">
                        <w:rPr>
                          <w:rFonts w:ascii="Arial" w:hAnsi="Arial" w:cs="Arial"/>
                          <w:b/>
                          <w:bCs/>
                          <w:color w:val="1F497D"/>
                          <w:sz w:val="16"/>
                          <w:szCs w:val="16"/>
                        </w:rPr>
                        <w:t xml:space="preserve"> </w:t>
                      </w:r>
                      <w:hyperlink r:id="rId13" w:history="1">
                        <w:r w:rsidRPr="0071416A">
                          <w:rPr>
                            <w:rStyle w:val="Hyperlink"/>
                            <w:rFonts w:ascii="Arial" w:hAnsi="Arial" w:cs="Arial"/>
                            <w:b/>
                            <w:bCs/>
                            <w:sz w:val="16"/>
                            <w:szCs w:val="16"/>
                          </w:rPr>
                          <w:t>tony.cain@alacho.org</w:t>
                        </w:r>
                      </w:hyperlink>
                    </w:p>
                    <w:p w14:paraId="0545AC79" w14:textId="77777777" w:rsidR="00D3636F" w:rsidRPr="002843D4" w:rsidRDefault="00D3636F" w:rsidP="00D3636F">
                      <w:pPr>
                        <w:jc w:val="right"/>
                        <w:rPr>
                          <w:rFonts w:ascii="Arial" w:hAnsi="Arial" w:cs="Arial"/>
                          <w:b/>
                          <w:bCs/>
                          <w:color w:val="1F497D"/>
                          <w:sz w:val="16"/>
                          <w:szCs w:val="16"/>
                        </w:rPr>
                      </w:pPr>
                      <w:r>
                        <w:rPr>
                          <w:rFonts w:ascii="Arial" w:hAnsi="Arial" w:cs="Arial"/>
                          <w:b/>
                          <w:bCs/>
                          <w:color w:val="1F497D"/>
                          <w:sz w:val="16"/>
                          <w:szCs w:val="16"/>
                        </w:rPr>
                        <w:t>Mobile:   07908460989</w:t>
                      </w:r>
                    </w:p>
                    <w:p w14:paraId="5CF65135" w14:textId="77777777" w:rsidR="00D3636F" w:rsidRPr="002843D4" w:rsidRDefault="00D3636F" w:rsidP="00D3636F">
                      <w:pPr>
                        <w:jc w:val="right"/>
                        <w:rPr>
                          <w:rFonts w:ascii="Arial" w:hAnsi="Arial" w:cs="Arial"/>
                          <w:b/>
                          <w:bCs/>
                          <w:color w:val="1F497D"/>
                          <w:sz w:val="16"/>
                          <w:szCs w:val="16"/>
                        </w:rPr>
                      </w:pPr>
                    </w:p>
                    <w:p w14:paraId="70964162" w14:textId="77777777" w:rsidR="00D3636F" w:rsidRPr="002843D4" w:rsidRDefault="00D3636F" w:rsidP="00D3636F">
                      <w:pPr>
                        <w:rPr>
                          <w:rFonts w:ascii="Arial" w:hAnsi="Arial" w:cs="Arial"/>
                          <w:b/>
                          <w:bCs/>
                          <w:sz w:val="18"/>
                        </w:rPr>
                      </w:pPr>
                    </w:p>
                  </w:txbxContent>
                </v:textbox>
              </v:shape>
            </w:pict>
          </mc:Fallback>
        </mc:AlternateContent>
      </w:r>
    </w:p>
    <w:p w14:paraId="163854EF" w14:textId="77777777" w:rsidR="00D3636F" w:rsidRDefault="00D3636F"/>
    <w:p w14:paraId="6044CE1F" w14:textId="38BD8EEB" w:rsidR="00D3636F" w:rsidRDefault="004A3B43" w:rsidP="004A3B43">
      <w:pPr>
        <w:jc w:val="center"/>
        <w:rPr>
          <w:rFonts w:ascii="Verdana" w:hAnsi="Verdana"/>
          <w:b/>
          <w:bCs/>
        </w:rPr>
      </w:pPr>
      <w:r>
        <w:rPr>
          <w:rFonts w:ascii="Verdana" w:hAnsi="Verdana"/>
          <w:b/>
          <w:bCs/>
        </w:rPr>
        <w:t>Differential grant rates</w:t>
      </w:r>
      <w:r w:rsidR="001C70AC">
        <w:rPr>
          <w:rFonts w:ascii="Verdana" w:hAnsi="Verdana"/>
          <w:b/>
          <w:bCs/>
        </w:rPr>
        <w:t xml:space="preserve"> </w:t>
      </w:r>
      <w:r>
        <w:rPr>
          <w:rFonts w:ascii="Verdana" w:hAnsi="Verdana"/>
          <w:b/>
          <w:bCs/>
        </w:rPr>
        <w:t>- unpicking the rational</w:t>
      </w:r>
    </w:p>
    <w:p w14:paraId="69F6DC70" w14:textId="4429D26C" w:rsidR="004A3B43" w:rsidRDefault="00557020" w:rsidP="00557020">
      <w:pPr>
        <w:jc w:val="center"/>
        <w:rPr>
          <w:rFonts w:ascii="Verdana" w:hAnsi="Verdana"/>
          <w:b/>
          <w:bCs/>
        </w:rPr>
      </w:pPr>
      <w:r>
        <w:rPr>
          <w:rFonts w:ascii="Verdana" w:hAnsi="Verdana"/>
          <w:b/>
          <w:bCs/>
        </w:rPr>
        <w:t>March 2021</w:t>
      </w:r>
    </w:p>
    <w:p w14:paraId="76A1EF80" w14:textId="1A67EA45" w:rsidR="004A3B43" w:rsidRDefault="004A3B43" w:rsidP="00D3636F">
      <w:pPr>
        <w:spacing w:after="0"/>
        <w:rPr>
          <w:rFonts w:ascii="Verdana" w:hAnsi="Verdana"/>
          <w:b/>
          <w:bCs/>
        </w:rPr>
      </w:pPr>
      <w:r>
        <w:rPr>
          <w:rFonts w:ascii="Verdana" w:hAnsi="Verdana"/>
          <w:b/>
          <w:bCs/>
        </w:rPr>
        <w:t>Background</w:t>
      </w:r>
    </w:p>
    <w:p w14:paraId="1F931516" w14:textId="689CB36C" w:rsidR="004A3B43" w:rsidRDefault="004A3B43" w:rsidP="00D3636F">
      <w:pPr>
        <w:spacing w:after="0"/>
        <w:rPr>
          <w:rFonts w:ascii="Verdana" w:hAnsi="Verdana"/>
          <w:b/>
          <w:bCs/>
        </w:rPr>
      </w:pPr>
    </w:p>
    <w:p w14:paraId="3742806A" w14:textId="65EE06C5" w:rsidR="009F4DBA" w:rsidRPr="001C70AC" w:rsidRDefault="004C496F" w:rsidP="001C70AC">
      <w:pPr>
        <w:pStyle w:val="ListParagraph"/>
        <w:numPr>
          <w:ilvl w:val="0"/>
          <w:numId w:val="6"/>
        </w:numPr>
        <w:spacing w:after="0"/>
        <w:rPr>
          <w:rFonts w:ascii="Verdana" w:hAnsi="Verdana"/>
        </w:rPr>
      </w:pPr>
      <w:r w:rsidRPr="001C70AC">
        <w:rPr>
          <w:rFonts w:ascii="Verdana" w:hAnsi="Verdana"/>
        </w:rPr>
        <w:t>Grants to support Council house building were reintroduced around 200</w:t>
      </w:r>
      <w:r w:rsidR="00DF5BC9" w:rsidRPr="001C70AC">
        <w:rPr>
          <w:rFonts w:ascii="Verdana" w:hAnsi="Verdana"/>
        </w:rPr>
        <w:t>8</w:t>
      </w:r>
      <w:r w:rsidR="00815CF8" w:rsidRPr="001C70AC">
        <w:rPr>
          <w:rFonts w:ascii="Verdana" w:hAnsi="Verdana"/>
        </w:rPr>
        <w:t xml:space="preserve"> as</w:t>
      </w:r>
      <w:r w:rsidRPr="001C70AC">
        <w:rPr>
          <w:rFonts w:ascii="Verdana" w:hAnsi="Verdana"/>
        </w:rPr>
        <w:t xml:space="preserve"> one of </w:t>
      </w:r>
      <w:proofErr w:type="gramStart"/>
      <w:r w:rsidRPr="001C70AC">
        <w:rPr>
          <w:rFonts w:ascii="Verdana" w:hAnsi="Verdana"/>
        </w:rPr>
        <w:t>a number of</w:t>
      </w:r>
      <w:proofErr w:type="gramEnd"/>
      <w:r w:rsidRPr="001C70AC">
        <w:rPr>
          <w:rFonts w:ascii="Verdana" w:hAnsi="Verdana"/>
        </w:rPr>
        <w:t xml:space="preserve"> actions aimed at </w:t>
      </w:r>
      <w:r w:rsidR="00D04976" w:rsidRPr="001C70AC">
        <w:rPr>
          <w:rFonts w:ascii="Verdana" w:hAnsi="Verdana"/>
        </w:rPr>
        <w:t xml:space="preserve">encouraging house building generally and social housing building in particular.  </w:t>
      </w:r>
      <w:r w:rsidR="00815CF8" w:rsidRPr="001C70AC">
        <w:rPr>
          <w:rFonts w:ascii="Verdana" w:hAnsi="Verdana"/>
        </w:rPr>
        <w:t>A simple flat rate of £30,000 was available</w:t>
      </w:r>
      <w:r w:rsidR="009C30C5" w:rsidRPr="001C70AC">
        <w:rPr>
          <w:rFonts w:ascii="Verdana" w:hAnsi="Verdana"/>
        </w:rPr>
        <w:t xml:space="preserve"> for qualifying schemes.  Grants to Housing Associations continued to be calculated</w:t>
      </w:r>
      <w:r w:rsidR="007D0E26" w:rsidRPr="001C70AC">
        <w:rPr>
          <w:rFonts w:ascii="Verdana" w:hAnsi="Verdana"/>
        </w:rPr>
        <w:t xml:space="preserve"> by an entirely separate method</w:t>
      </w:r>
      <w:r w:rsidR="009C30C5" w:rsidRPr="001C70AC">
        <w:rPr>
          <w:rFonts w:ascii="Verdana" w:hAnsi="Verdana"/>
        </w:rPr>
        <w:t xml:space="preserve"> based on benchmark rents and scheme costs until</w:t>
      </w:r>
      <w:r w:rsidR="009F4DBA" w:rsidRPr="001C70AC">
        <w:rPr>
          <w:rFonts w:ascii="Verdana" w:hAnsi="Verdana"/>
        </w:rPr>
        <w:t xml:space="preserve"> 201</w:t>
      </w:r>
      <w:r w:rsidR="009E5BCF">
        <w:rPr>
          <w:rFonts w:ascii="Verdana" w:hAnsi="Verdana"/>
        </w:rPr>
        <w:t>0</w:t>
      </w:r>
      <w:r w:rsidR="009F4DBA" w:rsidRPr="001C70AC">
        <w:rPr>
          <w:rFonts w:ascii="Verdana" w:hAnsi="Verdana"/>
        </w:rPr>
        <w:t xml:space="preserve"> when a flat rate £40,000 grant was introduced.  The grant for Councils remained unchanged at £30,000.</w:t>
      </w:r>
      <w:r w:rsidR="009E5BCF">
        <w:rPr>
          <w:rFonts w:ascii="Verdana" w:hAnsi="Verdana"/>
        </w:rPr>
        <w:t xml:space="preserve">  Grants for RSLs were revised</w:t>
      </w:r>
      <w:r w:rsidR="00890071">
        <w:rPr>
          <w:rFonts w:ascii="Verdana" w:hAnsi="Verdana"/>
        </w:rPr>
        <w:t xml:space="preserve"> upwards</w:t>
      </w:r>
      <w:r w:rsidR="009E5BCF">
        <w:rPr>
          <w:rFonts w:ascii="Verdana" w:hAnsi="Verdana"/>
        </w:rPr>
        <w:t xml:space="preserve"> in 2011</w:t>
      </w:r>
      <w:r w:rsidR="00890071">
        <w:rPr>
          <w:rFonts w:ascii="Verdana" w:hAnsi="Verdana"/>
        </w:rPr>
        <w:t>.</w:t>
      </w:r>
    </w:p>
    <w:p w14:paraId="3296861C" w14:textId="77777777" w:rsidR="009F4DBA" w:rsidRDefault="009F4DBA" w:rsidP="00D3636F">
      <w:pPr>
        <w:spacing w:after="0"/>
        <w:rPr>
          <w:rFonts w:ascii="Verdana" w:hAnsi="Verdana"/>
        </w:rPr>
      </w:pPr>
    </w:p>
    <w:p w14:paraId="72BAB906" w14:textId="5240AC4E" w:rsidR="004B3C1A" w:rsidRPr="001C70AC" w:rsidRDefault="009F4DBA" w:rsidP="001C70AC">
      <w:pPr>
        <w:pStyle w:val="ListParagraph"/>
        <w:numPr>
          <w:ilvl w:val="0"/>
          <w:numId w:val="6"/>
        </w:numPr>
        <w:spacing w:after="0"/>
        <w:rPr>
          <w:rFonts w:ascii="Verdana" w:hAnsi="Verdana"/>
        </w:rPr>
      </w:pPr>
      <w:r w:rsidRPr="001C70AC">
        <w:rPr>
          <w:rFonts w:ascii="Verdana" w:hAnsi="Verdana"/>
        </w:rPr>
        <w:t>The 201</w:t>
      </w:r>
      <w:r w:rsidR="002553E6" w:rsidRPr="001C70AC">
        <w:rPr>
          <w:rFonts w:ascii="Verdana" w:hAnsi="Verdana"/>
        </w:rPr>
        <w:t>1</w:t>
      </w:r>
      <w:r w:rsidRPr="001C70AC">
        <w:rPr>
          <w:rFonts w:ascii="Verdana" w:hAnsi="Verdana"/>
        </w:rPr>
        <w:t xml:space="preserve"> change was </w:t>
      </w:r>
      <w:r w:rsidR="00CD71B4" w:rsidRPr="001C70AC">
        <w:rPr>
          <w:rFonts w:ascii="Verdana" w:hAnsi="Verdana"/>
        </w:rPr>
        <w:t>based in part on the results of a study</w:t>
      </w:r>
      <w:r w:rsidR="00A9290B">
        <w:rPr>
          <w:rFonts w:ascii="Verdana" w:hAnsi="Verdana"/>
        </w:rPr>
        <w:t xml:space="preserve"> </w:t>
      </w:r>
      <w:r w:rsidR="002553E6" w:rsidRPr="001C70AC">
        <w:rPr>
          <w:rFonts w:ascii="Verdana" w:hAnsi="Verdana"/>
        </w:rPr>
        <w:t xml:space="preserve">commissioned </w:t>
      </w:r>
      <w:r w:rsidR="006F40F2" w:rsidRPr="001C70AC">
        <w:rPr>
          <w:rFonts w:ascii="Verdana" w:hAnsi="Verdana"/>
        </w:rPr>
        <w:t xml:space="preserve">by the Scottish Government from </w:t>
      </w:r>
      <w:r w:rsidR="00907629" w:rsidRPr="001C70AC">
        <w:rPr>
          <w:rFonts w:ascii="Verdana" w:hAnsi="Verdana"/>
        </w:rPr>
        <w:t>Glen Bramley and others</w:t>
      </w:r>
      <w:r w:rsidR="00830C1E">
        <w:rPr>
          <w:rStyle w:val="FootnoteReference"/>
          <w:rFonts w:ascii="Verdana" w:hAnsi="Verdana"/>
        </w:rPr>
        <w:footnoteReference w:id="1"/>
      </w:r>
      <w:r w:rsidR="00CD71B4" w:rsidRPr="001C70AC">
        <w:rPr>
          <w:rFonts w:ascii="Verdana" w:hAnsi="Verdana"/>
        </w:rPr>
        <w:t xml:space="preserve"> </w:t>
      </w:r>
      <w:r w:rsidR="00A437FD" w:rsidRPr="001C70AC">
        <w:rPr>
          <w:rFonts w:ascii="Verdana" w:hAnsi="Verdana"/>
        </w:rPr>
        <w:t xml:space="preserve">that concluded that both Councils and RSLs had the capacity to a continuing significant programme of new supply at the proposed flat rates.  The balance of costs </w:t>
      </w:r>
      <w:r w:rsidR="004B3C1A" w:rsidRPr="001C70AC">
        <w:rPr>
          <w:rFonts w:ascii="Verdana" w:hAnsi="Verdana"/>
        </w:rPr>
        <w:t>was</w:t>
      </w:r>
      <w:r w:rsidR="00A437FD" w:rsidRPr="001C70AC">
        <w:rPr>
          <w:rFonts w:ascii="Verdana" w:hAnsi="Verdana"/>
        </w:rPr>
        <w:t xml:space="preserve"> to be </w:t>
      </w:r>
      <w:r w:rsidR="00B75587" w:rsidRPr="001C70AC">
        <w:rPr>
          <w:rFonts w:ascii="Verdana" w:hAnsi="Verdana"/>
        </w:rPr>
        <w:t>provided largely through borrowing funded from rents.  Rents were assumed to rise at CPI+1%</w:t>
      </w:r>
      <w:r w:rsidR="00D94F8D" w:rsidRPr="001C70AC">
        <w:rPr>
          <w:rFonts w:ascii="Verdana" w:hAnsi="Verdana"/>
        </w:rPr>
        <w:t xml:space="preserve"> over the medium to long term</w:t>
      </w:r>
      <w:r w:rsidR="00B75587" w:rsidRPr="001C70AC">
        <w:rPr>
          <w:rFonts w:ascii="Verdana" w:hAnsi="Verdana"/>
        </w:rPr>
        <w:t>.</w:t>
      </w:r>
    </w:p>
    <w:p w14:paraId="7362C874" w14:textId="77777777" w:rsidR="004B3C1A" w:rsidRDefault="004B3C1A" w:rsidP="00D3636F">
      <w:pPr>
        <w:spacing w:after="0"/>
        <w:rPr>
          <w:rFonts w:ascii="Verdana" w:hAnsi="Verdana"/>
        </w:rPr>
      </w:pPr>
    </w:p>
    <w:p w14:paraId="35ACA15D" w14:textId="59F1C8E4" w:rsidR="00C90C89" w:rsidRPr="001C70AC" w:rsidRDefault="004B3C1A" w:rsidP="001C70AC">
      <w:pPr>
        <w:pStyle w:val="ListParagraph"/>
        <w:numPr>
          <w:ilvl w:val="0"/>
          <w:numId w:val="6"/>
        </w:numPr>
        <w:spacing w:after="0"/>
        <w:rPr>
          <w:rFonts w:ascii="Verdana" w:hAnsi="Verdana"/>
        </w:rPr>
      </w:pPr>
      <w:r w:rsidRPr="001C70AC">
        <w:rPr>
          <w:rFonts w:ascii="Verdana" w:hAnsi="Verdana"/>
        </w:rPr>
        <w:t xml:space="preserve">The study </w:t>
      </w:r>
      <w:proofErr w:type="gramStart"/>
      <w:r w:rsidRPr="001C70AC">
        <w:rPr>
          <w:rFonts w:ascii="Verdana" w:hAnsi="Verdana"/>
        </w:rPr>
        <w:t>didn’t</w:t>
      </w:r>
      <w:proofErr w:type="gramEnd"/>
      <w:r w:rsidRPr="001C70AC">
        <w:rPr>
          <w:rFonts w:ascii="Verdana" w:hAnsi="Verdana"/>
        </w:rPr>
        <w:t xml:space="preserve"> include any detailed assessment of </w:t>
      </w:r>
      <w:r w:rsidR="00C423FB" w:rsidRPr="001C70AC">
        <w:rPr>
          <w:rFonts w:ascii="Verdana" w:hAnsi="Verdana"/>
        </w:rPr>
        <w:t xml:space="preserve">borrowing costs, land supply or affordability but </w:t>
      </w:r>
      <w:r w:rsidR="00E32D5B" w:rsidRPr="001C70AC">
        <w:rPr>
          <w:rFonts w:ascii="Verdana" w:hAnsi="Verdana"/>
        </w:rPr>
        <w:t>nevertheless</w:t>
      </w:r>
      <w:r w:rsidR="00C423FB" w:rsidRPr="001C70AC">
        <w:rPr>
          <w:rFonts w:ascii="Verdana" w:hAnsi="Verdana"/>
        </w:rPr>
        <w:t xml:space="preserve"> concluded that a lower rate of grant for councils was justified based on the</w:t>
      </w:r>
      <w:r w:rsidR="00384B1B" w:rsidRPr="001C70AC">
        <w:rPr>
          <w:rFonts w:ascii="Verdana" w:hAnsi="Verdana"/>
        </w:rPr>
        <w:t xml:space="preserve"> existence of their own land bank and access to borrowing at a lower rate than </w:t>
      </w:r>
      <w:r w:rsidR="00C90C89" w:rsidRPr="001C70AC">
        <w:rPr>
          <w:rFonts w:ascii="Verdana" w:hAnsi="Verdana"/>
        </w:rPr>
        <w:t>that for RSL.</w:t>
      </w:r>
    </w:p>
    <w:p w14:paraId="24879504" w14:textId="77777777" w:rsidR="00C90C89" w:rsidRDefault="00C90C89" w:rsidP="00D3636F">
      <w:pPr>
        <w:spacing w:after="0"/>
        <w:rPr>
          <w:rFonts w:ascii="Verdana" w:hAnsi="Verdana"/>
        </w:rPr>
      </w:pPr>
    </w:p>
    <w:p w14:paraId="7F5858B9" w14:textId="15C57201" w:rsidR="00C90C89" w:rsidRPr="001C70AC" w:rsidRDefault="00C90C89" w:rsidP="001C70AC">
      <w:pPr>
        <w:pStyle w:val="ListParagraph"/>
        <w:numPr>
          <w:ilvl w:val="0"/>
          <w:numId w:val="6"/>
        </w:numPr>
        <w:spacing w:after="0"/>
        <w:rPr>
          <w:rFonts w:ascii="Verdana" w:hAnsi="Verdana"/>
        </w:rPr>
      </w:pPr>
      <w:r w:rsidRPr="001C70AC">
        <w:rPr>
          <w:rFonts w:ascii="Verdana" w:hAnsi="Verdana"/>
        </w:rPr>
        <w:t>This approach was carried th</w:t>
      </w:r>
      <w:r w:rsidR="00B21548" w:rsidRPr="001C70AC">
        <w:rPr>
          <w:rFonts w:ascii="Verdana" w:hAnsi="Verdana"/>
        </w:rPr>
        <w:t>r</w:t>
      </w:r>
      <w:r w:rsidRPr="001C70AC">
        <w:rPr>
          <w:rFonts w:ascii="Verdana" w:hAnsi="Verdana"/>
        </w:rPr>
        <w:t>ough into the work of the first Housing Sub</w:t>
      </w:r>
      <w:r w:rsidR="0015494A" w:rsidRPr="001C70AC">
        <w:rPr>
          <w:rFonts w:ascii="Verdana" w:hAnsi="Verdana"/>
        </w:rPr>
        <w:t>s</w:t>
      </w:r>
      <w:r w:rsidRPr="001C70AC">
        <w:rPr>
          <w:rFonts w:ascii="Verdana" w:hAnsi="Verdana"/>
        </w:rPr>
        <w:t>i</w:t>
      </w:r>
      <w:r w:rsidR="0015494A" w:rsidRPr="001C70AC">
        <w:rPr>
          <w:rFonts w:ascii="Verdana" w:hAnsi="Verdana"/>
        </w:rPr>
        <w:t>d</w:t>
      </w:r>
      <w:r w:rsidRPr="001C70AC">
        <w:rPr>
          <w:rFonts w:ascii="Verdana" w:hAnsi="Verdana"/>
        </w:rPr>
        <w:t>y Review Group that reported in 2013. Its report included the following:</w:t>
      </w:r>
    </w:p>
    <w:p w14:paraId="63D2225F" w14:textId="77777777" w:rsidR="00C90C89" w:rsidRDefault="00C90C89" w:rsidP="00370093">
      <w:pPr>
        <w:spacing w:after="0"/>
        <w:ind w:left="360"/>
        <w:rPr>
          <w:rFonts w:ascii="Verdana" w:hAnsi="Verdana"/>
        </w:rPr>
      </w:pPr>
    </w:p>
    <w:p w14:paraId="3F070ABF" w14:textId="7A9EE8F0" w:rsidR="00820359" w:rsidRPr="00820359" w:rsidRDefault="00820359" w:rsidP="00370093">
      <w:pPr>
        <w:spacing w:after="0" w:line="240" w:lineRule="auto"/>
        <w:ind w:left="1440"/>
        <w:rPr>
          <w:rFonts w:ascii="Verdana" w:eastAsia="Times New Roman" w:hAnsi="Verdana" w:cs="Times New Roman"/>
          <w:b/>
          <w:lang w:eastAsia="en-GB"/>
        </w:rPr>
      </w:pPr>
      <w:r w:rsidRPr="00820359">
        <w:rPr>
          <w:rFonts w:ascii="Verdana" w:eastAsia="Times New Roman" w:hAnsi="Verdana" w:cs="Times New Roman"/>
          <w:b/>
          <w:lang w:eastAsia="en-GB"/>
        </w:rPr>
        <w:t>“</w:t>
      </w:r>
      <w:r w:rsidRPr="00820359">
        <w:rPr>
          <w:rFonts w:ascii="Verdana" w:eastAsia="Times New Roman" w:hAnsi="Verdana" w:cs="Times New Roman"/>
          <w:bCs/>
          <w:lang w:eastAsia="en-GB"/>
        </w:rPr>
        <w:t xml:space="preserve">However, there are often tighter financial constraints on RSLs than on councils, given their need to raise funding from private lenders.  Many councils also have a greater pool of resources they can draw on, </w:t>
      </w:r>
      <w:proofErr w:type="spellStart"/>
      <w:proofErr w:type="gramStart"/>
      <w:r w:rsidRPr="00820359">
        <w:rPr>
          <w:rFonts w:ascii="Verdana" w:eastAsia="Times New Roman" w:hAnsi="Verdana" w:cs="Times New Roman"/>
          <w:bCs/>
          <w:lang w:eastAsia="en-GB"/>
        </w:rPr>
        <w:t>eg</w:t>
      </w:r>
      <w:proofErr w:type="spellEnd"/>
      <w:proofErr w:type="gramEnd"/>
      <w:r w:rsidRPr="00820359">
        <w:rPr>
          <w:rFonts w:ascii="Verdana" w:eastAsia="Times New Roman" w:hAnsi="Verdana" w:cs="Times New Roman"/>
          <w:bCs/>
          <w:lang w:eastAsia="en-GB"/>
        </w:rPr>
        <w:t xml:space="preserve"> in the form of land.”</w:t>
      </w:r>
      <w:r w:rsidRPr="00820359">
        <w:rPr>
          <w:rFonts w:ascii="Verdana" w:eastAsia="Times New Roman" w:hAnsi="Verdana" w:cs="Times New Roman"/>
          <w:b/>
          <w:lang w:eastAsia="en-GB"/>
        </w:rPr>
        <w:t xml:space="preserve"> </w:t>
      </w:r>
    </w:p>
    <w:p w14:paraId="548997EC" w14:textId="50F3A4CD" w:rsidR="00D0505A" w:rsidRDefault="009C30C5" w:rsidP="00D3636F">
      <w:pPr>
        <w:spacing w:after="0"/>
        <w:rPr>
          <w:rFonts w:ascii="Verdana" w:hAnsi="Verdana"/>
        </w:rPr>
      </w:pPr>
      <w:r>
        <w:rPr>
          <w:rFonts w:ascii="Verdana" w:hAnsi="Verdana"/>
        </w:rPr>
        <w:t xml:space="preserve"> </w:t>
      </w:r>
    </w:p>
    <w:p w14:paraId="3D198C9C" w14:textId="0DFAC757" w:rsidR="004A3B43" w:rsidRPr="001C70AC" w:rsidRDefault="00820359" w:rsidP="001C70AC">
      <w:pPr>
        <w:pStyle w:val="ListParagraph"/>
        <w:numPr>
          <w:ilvl w:val="0"/>
          <w:numId w:val="6"/>
        </w:numPr>
        <w:spacing w:after="0"/>
        <w:rPr>
          <w:rFonts w:ascii="Verdana" w:hAnsi="Verdana"/>
        </w:rPr>
      </w:pPr>
      <w:r w:rsidRPr="001C70AC">
        <w:rPr>
          <w:rFonts w:ascii="Verdana" w:hAnsi="Verdana"/>
        </w:rPr>
        <w:t>These assumptions have remained unchallenged</w:t>
      </w:r>
      <w:r w:rsidR="00472BA2" w:rsidRPr="001C70AC">
        <w:rPr>
          <w:rFonts w:ascii="Verdana" w:hAnsi="Verdana"/>
        </w:rPr>
        <w:t>.  T</w:t>
      </w:r>
      <w:r w:rsidRPr="001C70AC">
        <w:rPr>
          <w:rFonts w:ascii="Verdana" w:hAnsi="Verdana"/>
        </w:rPr>
        <w:t xml:space="preserve">he 2015 report of the reconvened Housing Subsidy Review Group made no reference to </w:t>
      </w:r>
      <w:r w:rsidR="00E32D5B" w:rsidRPr="001C70AC">
        <w:rPr>
          <w:rFonts w:ascii="Verdana" w:hAnsi="Verdana"/>
        </w:rPr>
        <w:t>them, it simply continued to recommend lower rates of grants for local authority house building.</w:t>
      </w:r>
    </w:p>
    <w:p w14:paraId="4029180F" w14:textId="038CC4B4" w:rsidR="00E32D5B" w:rsidRDefault="00E32D5B" w:rsidP="00D3636F">
      <w:pPr>
        <w:spacing w:after="0"/>
        <w:rPr>
          <w:rFonts w:ascii="Verdana" w:hAnsi="Verdana"/>
        </w:rPr>
      </w:pPr>
    </w:p>
    <w:p w14:paraId="4A62EB48" w14:textId="216897C1" w:rsidR="00E32D5B" w:rsidRPr="00370093" w:rsidRDefault="0015494A" w:rsidP="00370093">
      <w:pPr>
        <w:pStyle w:val="ListParagraph"/>
        <w:numPr>
          <w:ilvl w:val="0"/>
          <w:numId w:val="6"/>
        </w:numPr>
        <w:spacing w:after="0"/>
        <w:rPr>
          <w:rFonts w:ascii="Verdana" w:hAnsi="Verdana"/>
        </w:rPr>
      </w:pPr>
      <w:r w:rsidRPr="00370093">
        <w:rPr>
          <w:rFonts w:ascii="Verdana" w:hAnsi="Verdana"/>
        </w:rPr>
        <w:lastRenderedPageBreak/>
        <w:t xml:space="preserve">This short paper presents the available evidence around these two </w:t>
      </w:r>
      <w:r w:rsidR="000A734B" w:rsidRPr="00370093">
        <w:rPr>
          <w:rFonts w:ascii="Verdana" w:hAnsi="Verdana"/>
        </w:rPr>
        <w:t xml:space="preserve">issues </w:t>
      </w:r>
      <w:r w:rsidR="00B36EFA">
        <w:rPr>
          <w:rFonts w:ascii="Verdana" w:hAnsi="Verdana"/>
        </w:rPr>
        <w:t xml:space="preserve">and other differences in the </w:t>
      </w:r>
      <w:r w:rsidR="00905249">
        <w:rPr>
          <w:rFonts w:ascii="Verdana" w:hAnsi="Verdana"/>
        </w:rPr>
        <w:t xml:space="preserve">financing of new homes provided by Councils and RSL </w:t>
      </w:r>
      <w:r w:rsidR="000A734B" w:rsidRPr="00370093">
        <w:rPr>
          <w:rFonts w:ascii="Verdana" w:hAnsi="Verdana"/>
        </w:rPr>
        <w:t>based on published information from the Scottish Government, the Scottish Housing Regulator and returns from a brief survey of ALACHO members.</w:t>
      </w:r>
    </w:p>
    <w:p w14:paraId="03EA64A5" w14:textId="77777777" w:rsidR="00472BA2" w:rsidRDefault="00472BA2" w:rsidP="00D3636F">
      <w:pPr>
        <w:spacing w:after="0"/>
        <w:rPr>
          <w:rFonts w:ascii="Verdana" w:hAnsi="Verdana"/>
        </w:rPr>
      </w:pPr>
    </w:p>
    <w:p w14:paraId="733B1504" w14:textId="08B9D69B" w:rsidR="00281F52" w:rsidRPr="00281F52" w:rsidRDefault="00281F52" w:rsidP="00997E15">
      <w:pPr>
        <w:spacing w:after="0"/>
        <w:ind w:left="360"/>
        <w:rPr>
          <w:rFonts w:ascii="Verdana" w:hAnsi="Verdana"/>
          <w:b/>
          <w:bCs/>
        </w:rPr>
      </w:pPr>
      <w:r w:rsidRPr="00281F52">
        <w:rPr>
          <w:rFonts w:ascii="Verdana" w:hAnsi="Verdana"/>
          <w:b/>
          <w:bCs/>
        </w:rPr>
        <w:t>Borrowing costs</w:t>
      </w:r>
    </w:p>
    <w:p w14:paraId="5C6AA39E" w14:textId="61A88A05" w:rsidR="00281F52" w:rsidRDefault="00281F52" w:rsidP="00D3636F">
      <w:pPr>
        <w:spacing w:after="0"/>
        <w:rPr>
          <w:rFonts w:ascii="Verdana" w:hAnsi="Verdana"/>
        </w:rPr>
      </w:pPr>
    </w:p>
    <w:p w14:paraId="19C3C2B4" w14:textId="30BBBB8B" w:rsidR="00C37B9C" w:rsidRDefault="00C37B9C" w:rsidP="00997E15">
      <w:pPr>
        <w:spacing w:after="0"/>
        <w:ind w:left="360"/>
        <w:rPr>
          <w:rFonts w:ascii="Verdana" w:hAnsi="Verdana"/>
          <w:b/>
          <w:bCs/>
        </w:rPr>
      </w:pPr>
      <w:r w:rsidRPr="001C70AC">
        <w:rPr>
          <w:rFonts w:ascii="Verdana" w:hAnsi="Verdana"/>
          <w:b/>
          <w:bCs/>
        </w:rPr>
        <w:t>Councils</w:t>
      </w:r>
    </w:p>
    <w:p w14:paraId="2D16A26F" w14:textId="77777777" w:rsidR="00997E15" w:rsidRPr="001C70AC" w:rsidRDefault="00997E15" w:rsidP="00997E15">
      <w:pPr>
        <w:spacing w:after="0"/>
        <w:ind w:left="360"/>
        <w:rPr>
          <w:rFonts w:ascii="Verdana" w:hAnsi="Verdana"/>
          <w:b/>
          <w:bCs/>
        </w:rPr>
      </w:pPr>
    </w:p>
    <w:p w14:paraId="52E91E26" w14:textId="467A021C" w:rsidR="00CA5DA9" w:rsidRPr="001C70AC" w:rsidRDefault="00CA5DA9" w:rsidP="001C70AC">
      <w:pPr>
        <w:pStyle w:val="ListParagraph"/>
        <w:numPr>
          <w:ilvl w:val="0"/>
          <w:numId w:val="6"/>
        </w:numPr>
        <w:spacing w:after="0"/>
        <w:rPr>
          <w:rFonts w:ascii="Verdana" w:hAnsi="Verdana"/>
        </w:rPr>
      </w:pPr>
      <w:r w:rsidRPr="001C70AC">
        <w:rPr>
          <w:rFonts w:ascii="Verdana" w:hAnsi="Verdana"/>
        </w:rPr>
        <w:t>Whilst the details of the calculations can vary</w:t>
      </w:r>
      <w:r w:rsidR="00671322">
        <w:rPr>
          <w:rFonts w:ascii="Verdana" w:hAnsi="Verdana"/>
        </w:rPr>
        <w:t>,</w:t>
      </w:r>
      <w:r w:rsidRPr="001C70AC">
        <w:rPr>
          <w:rFonts w:ascii="Verdana" w:hAnsi="Verdana"/>
        </w:rPr>
        <w:t xml:space="preserve"> </w:t>
      </w:r>
      <w:r w:rsidR="006E73CD" w:rsidRPr="001C70AC">
        <w:rPr>
          <w:rFonts w:ascii="Verdana" w:hAnsi="Verdana"/>
        </w:rPr>
        <w:t xml:space="preserve">all </w:t>
      </w:r>
      <w:r w:rsidR="00D55318" w:rsidRPr="001C70AC">
        <w:rPr>
          <w:rFonts w:ascii="Verdana" w:hAnsi="Verdana"/>
        </w:rPr>
        <w:t xml:space="preserve">Scottish </w:t>
      </w:r>
      <w:r w:rsidRPr="001C70AC">
        <w:rPr>
          <w:rFonts w:ascii="Verdana" w:hAnsi="Verdana"/>
        </w:rPr>
        <w:t xml:space="preserve">councils account for borrowing costs on the Housing Revenue Account (HRA) </w:t>
      </w:r>
      <w:proofErr w:type="gramStart"/>
      <w:r w:rsidRPr="001C70AC">
        <w:rPr>
          <w:rFonts w:ascii="Verdana" w:hAnsi="Verdana"/>
        </w:rPr>
        <w:t>on the basis of</w:t>
      </w:r>
      <w:proofErr w:type="gramEnd"/>
      <w:r w:rsidRPr="001C70AC">
        <w:rPr>
          <w:rFonts w:ascii="Verdana" w:hAnsi="Verdana"/>
        </w:rPr>
        <w:t xml:space="preserve"> a </w:t>
      </w:r>
      <w:r w:rsidR="00671322">
        <w:rPr>
          <w:rFonts w:ascii="Verdana" w:hAnsi="Verdana"/>
        </w:rPr>
        <w:t>“</w:t>
      </w:r>
      <w:r w:rsidRPr="001C70AC">
        <w:rPr>
          <w:rFonts w:ascii="Verdana" w:hAnsi="Verdana"/>
        </w:rPr>
        <w:t>pool rate</w:t>
      </w:r>
      <w:r w:rsidR="00671322">
        <w:rPr>
          <w:rFonts w:ascii="Verdana" w:hAnsi="Verdana"/>
        </w:rPr>
        <w:t>”</w:t>
      </w:r>
      <w:r w:rsidRPr="001C70AC">
        <w:rPr>
          <w:rFonts w:ascii="Verdana" w:hAnsi="Verdana"/>
        </w:rPr>
        <w:t>.</w:t>
      </w:r>
      <w:r w:rsidR="001C70AC">
        <w:rPr>
          <w:rFonts w:ascii="Verdana" w:hAnsi="Verdana"/>
        </w:rPr>
        <w:t xml:space="preserve">  </w:t>
      </w:r>
    </w:p>
    <w:p w14:paraId="0E23E2A0" w14:textId="2081413B" w:rsidR="006643CE" w:rsidRDefault="006643CE" w:rsidP="00D3636F">
      <w:pPr>
        <w:spacing w:after="0"/>
        <w:rPr>
          <w:rFonts w:ascii="Verdana" w:hAnsi="Verdana"/>
        </w:rPr>
      </w:pPr>
      <w:r>
        <w:rPr>
          <w:rFonts w:ascii="Verdana" w:hAnsi="Verdana"/>
        </w:rPr>
        <w:tab/>
      </w:r>
    </w:p>
    <w:p w14:paraId="0B587E57" w14:textId="5389A7AD" w:rsidR="003205E2" w:rsidRPr="00944003" w:rsidRDefault="006643CE" w:rsidP="00944003">
      <w:pPr>
        <w:pStyle w:val="ListParagraph"/>
        <w:numPr>
          <w:ilvl w:val="0"/>
          <w:numId w:val="6"/>
        </w:numPr>
        <w:spacing w:after="0"/>
        <w:rPr>
          <w:rFonts w:ascii="Verdana" w:hAnsi="Verdana"/>
        </w:rPr>
      </w:pPr>
      <w:r w:rsidRPr="00944003">
        <w:rPr>
          <w:rFonts w:ascii="Verdana" w:hAnsi="Verdana"/>
        </w:rPr>
        <w:t>Pool rates are published each year as part of the HRA financial return.</w:t>
      </w:r>
      <w:r w:rsidR="00F504FC" w:rsidRPr="00944003">
        <w:rPr>
          <w:rFonts w:ascii="Verdana" w:hAnsi="Verdana"/>
        </w:rPr>
        <w:t xml:space="preserve">  </w:t>
      </w:r>
      <w:r w:rsidRPr="00944003">
        <w:rPr>
          <w:rFonts w:ascii="Verdana" w:hAnsi="Verdana"/>
        </w:rPr>
        <w:t>The most recently available figures are for the year ending 31 March 20</w:t>
      </w:r>
      <w:r w:rsidR="00241554" w:rsidRPr="00944003">
        <w:rPr>
          <w:rFonts w:ascii="Verdana" w:hAnsi="Verdana"/>
        </w:rPr>
        <w:t>20</w:t>
      </w:r>
      <w:r w:rsidR="00BB0F73">
        <w:rPr>
          <w:rStyle w:val="FootnoteReference"/>
          <w:rFonts w:ascii="Verdana" w:hAnsi="Verdana"/>
        </w:rPr>
        <w:footnoteReference w:id="2"/>
      </w:r>
      <w:r w:rsidRPr="00944003">
        <w:rPr>
          <w:rFonts w:ascii="Verdana" w:hAnsi="Verdana"/>
        </w:rPr>
        <w:t xml:space="preserve"> and show rates ranging from 2.</w:t>
      </w:r>
      <w:r w:rsidR="003452AE" w:rsidRPr="00944003">
        <w:rPr>
          <w:rFonts w:ascii="Verdana" w:hAnsi="Verdana"/>
        </w:rPr>
        <w:t>58</w:t>
      </w:r>
      <w:r w:rsidRPr="00944003">
        <w:rPr>
          <w:rFonts w:ascii="Verdana" w:hAnsi="Verdana"/>
        </w:rPr>
        <w:t>% to 5% (note East Lothian is</w:t>
      </w:r>
      <w:r w:rsidR="00F504FC" w:rsidRPr="00944003">
        <w:rPr>
          <w:rFonts w:ascii="Verdana" w:hAnsi="Verdana"/>
        </w:rPr>
        <w:t xml:space="preserve"> </w:t>
      </w:r>
      <w:r w:rsidRPr="00944003">
        <w:rPr>
          <w:rFonts w:ascii="Verdana" w:hAnsi="Verdana"/>
        </w:rPr>
        <w:t>shown as reporting a pool rate of 0%</w:t>
      </w:r>
      <w:r w:rsidR="00D63FAF" w:rsidRPr="00944003">
        <w:rPr>
          <w:rFonts w:ascii="Verdana" w:hAnsi="Verdana"/>
        </w:rPr>
        <w:t xml:space="preserve"> but b</w:t>
      </w:r>
      <w:r w:rsidR="00A17C4A" w:rsidRPr="00944003">
        <w:rPr>
          <w:rFonts w:ascii="Verdana" w:hAnsi="Verdana"/>
        </w:rPr>
        <w:t xml:space="preserve">orrowing cost and debt figure included in the published tables suggest </w:t>
      </w:r>
      <w:r w:rsidR="00D63FAF" w:rsidRPr="00944003">
        <w:rPr>
          <w:rFonts w:ascii="Verdana" w:hAnsi="Verdana"/>
        </w:rPr>
        <w:t>an interest rate charge within this range</w:t>
      </w:r>
      <w:r w:rsidRPr="00944003">
        <w:rPr>
          <w:rFonts w:ascii="Verdana" w:hAnsi="Verdana"/>
        </w:rPr>
        <w:t>).</w:t>
      </w:r>
      <w:r w:rsidR="00F504FC" w:rsidRPr="00944003">
        <w:rPr>
          <w:rFonts w:ascii="Verdana" w:hAnsi="Verdana"/>
        </w:rPr>
        <w:t xml:space="preserve"> </w:t>
      </w:r>
    </w:p>
    <w:p w14:paraId="06ECB7CD" w14:textId="77777777" w:rsidR="003205E2" w:rsidRDefault="003205E2" w:rsidP="00F504FC">
      <w:pPr>
        <w:spacing w:after="0"/>
        <w:rPr>
          <w:rFonts w:ascii="Verdana" w:hAnsi="Verdana"/>
        </w:rPr>
      </w:pPr>
    </w:p>
    <w:p w14:paraId="19B02FC8" w14:textId="5BCBE8C2" w:rsidR="006643CE" w:rsidRPr="001C70AC" w:rsidRDefault="006643CE" w:rsidP="001C70AC">
      <w:pPr>
        <w:pStyle w:val="ListParagraph"/>
        <w:numPr>
          <w:ilvl w:val="0"/>
          <w:numId w:val="6"/>
        </w:numPr>
        <w:spacing w:after="0"/>
        <w:rPr>
          <w:rFonts w:ascii="Verdana" w:hAnsi="Verdana"/>
        </w:rPr>
      </w:pPr>
      <w:r w:rsidRPr="001C70AC">
        <w:rPr>
          <w:rFonts w:ascii="Verdana" w:hAnsi="Verdana"/>
        </w:rPr>
        <w:t>Overall</w:t>
      </w:r>
      <w:r w:rsidR="00D932D2">
        <w:rPr>
          <w:rFonts w:ascii="Verdana" w:hAnsi="Verdana"/>
        </w:rPr>
        <w:t>,</w:t>
      </w:r>
      <w:r w:rsidRPr="001C70AC">
        <w:rPr>
          <w:rFonts w:ascii="Verdana" w:hAnsi="Verdana"/>
        </w:rPr>
        <w:t xml:space="preserve"> Councils paid a total of £1</w:t>
      </w:r>
      <w:r w:rsidR="008A71E6" w:rsidRPr="001C70AC">
        <w:rPr>
          <w:rFonts w:ascii="Verdana" w:hAnsi="Verdana"/>
        </w:rPr>
        <w:t>43.9</w:t>
      </w:r>
      <w:r w:rsidRPr="001C70AC">
        <w:rPr>
          <w:rFonts w:ascii="Verdana" w:hAnsi="Verdana"/>
        </w:rPr>
        <w:t>m in interest and £1</w:t>
      </w:r>
      <w:r w:rsidR="00052CE0" w:rsidRPr="001C70AC">
        <w:rPr>
          <w:rFonts w:ascii="Verdana" w:hAnsi="Verdana"/>
        </w:rPr>
        <w:t>26</w:t>
      </w:r>
      <w:r w:rsidRPr="001C70AC">
        <w:rPr>
          <w:rFonts w:ascii="Verdana" w:hAnsi="Verdana"/>
        </w:rPr>
        <w:t xml:space="preserve">.7m capital </w:t>
      </w:r>
      <w:r w:rsidR="003205E2" w:rsidRPr="001C70AC">
        <w:rPr>
          <w:rFonts w:ascii="Verdana" w:hAnsi="Verdana"/>
        </w:rPr>
        <w:t>r</w:t>
      </w:r>
      <w:r w:rsidRPr="001C70AC">
        <w:rPr>
          <w:rFonts w:ascii="Verdana" w:hAnsi="Verdana"/>
        </w:rPr>
        <w:t xml:space="preserve">epayments on a total debt as </w:t>
      </w:r>
      <w:proofErr w:type="gramStart"/>
      <w:r w:rsidRPr="001C70AC">
        <w:rPr>
          <w:rFonts w:ascii="Verdana" w:hAnsi="Verdana"/>
        </w:rPr>
        <w:t>at</w:t>
      </w:r>
      <w:proofErr w:type="gramEnd"/>
      <w:r w:rsidRPr="001C70AC">
        <w:rPr>
          <w:rFonts w:ascii="Verdana" w:hAnsi="Verdana"/>
        </w:rPr>
        <w:t xml:space="preserve"> March 20</w:t>
      </w:r>
      <w:r w:rsidR="008A71E6" w:rsidRPr="001C70AC">
        <w:rPr>
          <w:rFonts w:ascii="Verdana" w:hAnsi="Verdana"/>
        </w:rPr>
        <w:t>20</w:t>
      </w:r>
      <w:r w:rsidRPr="001C70AC">
        <w:rPr>
          <w:rFonts w:ascii="Verdana" w:hAnsi="Verdana"/>
        </w:rPr>
        <w:t xml:space="preserve"> of £</w:t>
      </w:r>
      <w:r w:rsidR="002A68D5" w:rsidRPr="001C70AC">
        <w:rPr>
          <w:rFonts w:ascii="Verdana" w:hAnsi="Verdana"/>
        </w:rPr>
        <w:t>4.026</w:t>
      </w:r>
      <w:r w:rsidR="001C70AC">
        <w:rPr>
          <w:rFonts w:ascii="Verdana" w:hAnsi="Verdana"/>
        </w:rPr>
        <w:t xml:space="preserve"> billion</w:t>
      </w:r>
      <w:r w:rsidRPr="001C70AC">
        <w:rPr>
          <w:rFonts w:ascii="Verdana" w:hAnsi="Verdana"/>
        </w:rPr>
        <w:t>.  These figures suggest an overall interest rate of 3.</w:t>
      </w:r>
      <w:r w:rsidR="00765594" w:rsidRPr="001C70AC">
        <w:rPr>
          <w:rFonts w:ascii="Verdana" w:hAnsi="Verdana"/>
        </w:rPr>
        <w:t>57</w:t>
      </w:r>
      <w:r w:rsidRPr="001C70AC">
        <w:rPr>
          <w:rFonts w:ascii="Verdana" w:hAnsi="Verdana"/>
        </w:rPr>
        <w:t xml:space="preserve">% and a total time remaining to repay of just </w:t>
      </w:r>
      <w:r w:rsidR="000113D6" w:rsidRPr="001C70AC">
        <w:rPr>
          <w:rFonts w:ascii="Verdana" w:hAnsi="Verdana"/>
        </w:rPr>
        <w:t>under</w:t>
      </w:r>
      <w:r w:rsidRPr="001C70AC">
        <w:rPr>
          <w:rFonts w:ascii="Verdana" w:hAnsi="Verdana"/>
        </w:rPr>
        <w:t xml:space="preserve"> </w:t>
      </w:r>
      <w:r w:rsidR="000113D6" w:rsidRPr="001C70AC">
        <w:rPr>
          <w:rFonts w:ascii="Verdana" w:hAnsi="Verdana"/>
        </w:rPr>
        <w:t>32</w:t>
      </w:r>
      <w:r w:rsidRPr="001C70AC">
        <w:rPr>
          <w:rFonts w:ascii="Verdana" w:hAnsi="Verdana"/>
        </w:rPr>
        <w:t xml:space="preserve"> years.</w:t>
      </w:r>
      <w:r w:rsidR="00A86211" w:rsidRPr="001C70AC">
        <w:rPr>
          <w:rFonts w:ascii="Verdana" w:hAnsi="Verdana"/>
        </w:rPr>
        <w:t xml:space="preserve">  It should be noted that these figures are estimate</w:t>
      </w:r>
      <w:r w:rsidR="0051071A" w:rsidRPr="001C70AC">
        <w:rPr>
          <w:rFonts w:ascii="Verdana" w:hAnsi="Verdana"/>
        </w:rPr>
        <w:t>s</w:t>
      </w:r>
      <w:r w:rsidR="00A86211" w:rsidRPr="001C70AC">
        <w:rPr>
          <w:rFonts w:ascii="Verdana" w:hAnsi="Verdana"/>
        </w:rPr>
        <w:t>, they will vary from year to year to reflect the underlying structure of borrowing across the 26 HRAs.</w:t>
      </w:r>
    </w:p>
    <w:p w14:paraId="4A64BC9C" w14:textId="77777777" w:rsidR="00281F52" w:rsidRPr="00820359" w:rsidRDefault="00281F52" w:rsidP="00D3636F">
      <w:pPr>
        <w:spacing w:after="0"/>
        <w:rPr>
          <w:rFonts w:ascii="Verdana" w:hAnsi="Verdana"/>
        </w:rPr>
      </w:pPr>
    </w:p>
    <w:p w14:paraId="15686AFD" w14:textId="2ABE9386" w:rsidR="00DF7719" w:rsidRDefault="00DF7719" w:rsidP="00D3636F">
      <w:pPr>
        <w:spacing w:after="0"/>
        <w:rPr>
          <w:rFonts w:ascii="Verdana" w:hAnsi="Verdana"/>
          <w:b/>
          <w:bCs/>
        </w:rPr>
      </w:pPr>
      <w:r w:rsidRPr="001C70AC">
        <w:rPr>
          <w:rFonts w:ascii="Verdana" w:hAnsi="Verdana"/>
          <w:b/>
          <w:bCs/>
        </w:rPr>
        <w:t>Housing Associations</w:t>
      </w:r>
    </w:p>
    <w:p w14:paraId="6C2E42C9" w14:textId="77777777" w:rsidR="00A80418" w:rsidRPr="001C70AC" w:rsidRDefault="00A80418" w:rsidP="00D3636F">
      <w:pPr>
        <w:spacing w:after="0"/>
        <w:rPr>
          <w:rFonts w:ascii="Verdana" w:hAnsi="Verdana"/>
          <w:b/>
          <w:bCs/>
        </w:rPr>
      </w:pPr>
    </w:p>
    <w:p w14:paraId="346B9103" w14:textId="71AC8E16" w:rsidR="005D21D7" w:rsidRPr="001C70AC" w:rsidRDefault="005D21D7" w:rsidP="001C70AC">
      <w:pPr>
        <w:pStyle w:val="ListParagraph"/>
        <w:numPr>
          <w:ilvl w:val="0"/>
          <w:numId w:val="6"/>
        </w:numPr>
        <w:spacing w:after="0"/>
        <w:rPr>
          <w:rFonts w:ascii="Verdana" w:hAnsi="Verdana"/>
        </w:rPr>
      </w:pPr>
      <w:r w:rsidRPr="001C70AC">
        <w:rPr>
          <w:rFonts w:ascii="Verdana" w:hAnsi="Verdana"/>
        </w:rPr>
        <w:t>Identifying actual borrowing costs for housing associations is a little more complicated but the Scottish Housing Regulator does collect and publish</w:t>
      </w:r>
      <w:r w:rsidR="00BB0F73">
        <w:rPr>
          <w:rFonts w:ascii="Verdana" w:hAnsi="Verdana"/>
        </w:rPr>
        <w:t xml:space="preserve"> some</w:t>
      </w:r>
      <w:r w:rsidRPr="001C70AC">
        <w:rPr>
          <w:rFonts w:ascii="Verdana" w:hAnsi="Verdana"/>
        </w:rPr>
        <w:t xml:space="preserve"> information.  The most recent publication was </w:t>
      </w:r>
      <w:r w:rsidR="005F1F48" w:rsidRPr="001C70AC">
        <w:rPr>
          <w:rFonts w:ascii="Verdana" w:hAnsi="Verdana"/>
        </w:rPr>
        <w:t>dated December 2019 and related to the previous financial year.</w:t>
      </w:r>
      <w:r w:rsidR="005F1F48">
        <w:rPr>
          <w:rStyle w:val="FootnoteReference"/>
          <w:rFonts w:ascii="Verdana" w:hAnsi="Verdana"/>
        </w:rPr>
        <w:footnoteReference w:id="3"/>
      </w:r>
    </w:p>
    <w:p w14:paraId="1E0C3C6F" w14:textId="567737C1" w:rsidR="00755CCB" w:rsidRDefault="00755CCB" w:rsidP="00D3636F">
      <w:pPr>
        <w:spacing w:after="0"/>
        <w:rPr>
          <w:rFonts w:ascii="Verdana" w:hAnsi="Verdana"/>
        </w:rPr>
      </w:pPr>
    </w:p>
    <w:p w14:paraId="36A2C141" w14:textId="49EC3F19" w:rsidR="00755CCB" w:rsidRPr="001C70AC" w:rsidRDefault="00755CCB" w:rsidP="001C70AC">
      <w:pPr>
        <w:pStyle w:val="ListParagraph"/>
        <w:numPr>
          <w:ilvl w:val="0"/>
          <w:numId w:val="6"/>
        </w:numPr>
        <w:spacing w:after="0"/>
        <w:rPr>
          <w:rFonts w:ascii="Verdana" w:hAnsi="Verdana"/>
        </w:rPr>
      </w:pPr>
      <w:r w:rsidRPr="001C70AC">
        <w:rPr>
          <w:rFonts w:ascii="Verdana" w:hAnsi="Verdana"/>
        </w:rPr>
        <w:t xml:space="preserve">Figure </w:t>
      </w:r>
      <w:r w:rsidR="00BB5201" w:rsidRPr="001C70AC">
        <w:rPr>
          <w:rFonts w:ascii="Verdana" w:hAnsi="Verdana"/>
        </w:rPr>
        <w:t>16 in th</w:t>
      </w:r>
      <w:r w:rsidR="006E08BD">
        <w:rPr>
          <w:rFonts w:ascii="Verdana" w:hAnsi="Verdana"/>
        </w:rPr>
        <w:t>is</w:t>
      </w:r>
      <w:r w:rsidR="00BB5201" w:rsidRPr="001C70AC">
        <w:rPr>
          <w:rFonts w:ascii="Verdana" w:hAnsi="Verdana"/>
        </w:rPr>
        <w:t xml:space="preserve"> report provide</w:t>
      </w:r>
      <w:r w:rsidR="006E08BD">
        <w:rPr>
          <w:rFonts w:ascii="Verdana" w:hAnsi="Verdana"/>
        </w:rPr>
        <w:t>s</w:t>
      </w:r>
      <w:r w:rsidR="00BB5201" w:rsidRPr="001C70AC">
        <w:rPr>
          <w:rFonts w:ascii="Verdana" w:hAnsi="Verdana"/>
        </w:rPr>
        <w:t xml:space="preserve"> details of the number of loans, their value and the basis for the interest charged.  It shows a total debt portfolio of </w:t>
      </w:r>
      <w:r w:rsidR="00D234CA" w:rsidRPr="001C70AC">
        <w:rPr>
          <w:rFonts w:ascii="Verdana" w:hAnsi="Verdana"/>
        </w:rPr>
        <w:t xml:space="preserve">£4.15b across </w:t>
      </w:r>
      <w:r w:rsidR="00886A10" w:rsidRPr="001C70AC">
        <w:rPr>
          <w:rFonts w:ascii="Verdana" w:hAnsi="Verdana"/>
        </w:rPr>
        <w:t xml:space="preserve">1,317 loans.  </w:t>
      </w:r>
      <w:r w:rsidR="00BD5339" w:rsidRPr="001C70AC">
        <w:rPr>
          <w:rFonts w:ascii="Verdana" w:hAnsi="Verdana"/>
        </w:rPr>
        <w:t>The two most significant elements are:</w:t>
      </w:r>
    </w:p>
    <w:p w14:paraId="0788C652" w14:textId="447653C3" w:rsidR="003D7881" w:rsidRPr="00723D91" w:rsidRDefault="00D671A2" w:rsidP="00723D91">
      <w:pPr>
        <w:pStyle w:val="ListParagraph"/>
        <w:numPr>
          <w:ilvl w:val="0"/>
          <w:numId w:val="1"/>
        </w:numPr>
        <w:spacing w:after="0"/>
        <w:rPr>
          <w:rFonts w:ascii="Verdana" w:hAnsi="Verdana"/>
        </w:rPr>
      </w:pPr>
      <w:r w:rsidRPr="00723D91">
        <w:rPr>
          <w:rFonts w:ascii="Verdana" w:hAnsi="Verdana"/>
        </w:rPr>
        <w:t>511 loans totalling £2.75b on fixed rate</w:t>
      </w:r>
      <w:r w:rsidR="003D7881" w:rsidRPr="00723D91">
        <w:rPr>
          <w:rFonts w:ascii="Verdana" w:hAnsi="Verdana"/>
        </w:rPr>
        <w:t>s with a median of rate of 4.78%; and</w:t>
      </w:r>
    </w:p>
    <w:p w14:paraId="60519B1E" w14:textId="000728BF" w:rsidR="003D7881" w:rsidRPr="00723D91" w:rsidRDefault="002E5C06" w:rsidP="00723D91">
      <w:pPr>
        <w:pStyle w:val="ListParagraph"/>
        <w:numPr>
          <w:ilvl w:val="0"/>
          <w:numId w:val="1"/>
        </w:numPr>
        <w:spacing w:after="0"/>
        <w:rPr>
          <w:rFonts w:ascii="Verdana" w:hAnsi="Verdana"/>
        </w:rPr>
      </w:pPr>
      <w:r w:rsidRPr="00723D91">
        <w:rPr>
          <w:rFonts w:ascii="Verdana" w:hAnsi="Verdana"/>
        </w:rPr>
        <w:t xml:space="preserve">492 loans totalling £1.05b on </w:t>
      </w:r>
      <w:r w:rsidR="009D136F" w:rsidRPr="00723D91">
        <w:rPr>
          <w:rFonts w:ascii="Verdana" w:hAnsi="Verdana"/>
        </w:rPr>
        <w:t xml:space="preserve">short term lending with a median rate of </w:t>
      </w:r>
      <w:r w:rsidR="00723D91" w:rsidRPr="00723D91">
        <w:rPr>
          <w:rFonts w:ascii="Verdana" w:hAnsi="Verdana"/>
        </w:rPr>
        <w:t>0.75%</w:t>
      </w:r>
      <w:r w:rsidR="00FD3CAA">
        <w:rPr>
          <w:rFonts w:ascii="Verdana" w:hAnsi="Verdana"/>
        </w:rPr>
        <w:t>.</w:t>
      </w:r>
    </w:p>
    <w:p w14:paraId="3D541E83" w14:textId="47BD24FD" w:rsidR="00BD5339" w:rsidRDefault="00BD5339" w:rsidP="00D3636F">
      <w:pPr>
        <w:spacing w:after="0"/>
        <w:rPr>
          <w:rFonts w:ascii="Verdana" w:hAnsi="Verdana"/>
        </w:rPr>
      </w:pPr>
      <w:r>
        <w:rPr>
          <w:rFonts w:ascii="Verdana" w:hAnsi="Verdana"/>
        </w:rPr>
        <w:tab/>
      </w:r>
    </w:p>
    <w:p w14:paraId="3E40DA72" w14:textId="073D8A3C" w:rsidR="00723D91" w:rsidRPr="001C70AC" w:rsidRDefault="002243D8" w:rsidP="001C70AC">
      <w:pPr>
        <w:pStyle w:val="ListParagraph"/>
        <w:numPr>
          <w:ilvl w:val="0"/>
          <w:numId w:val="6"/>
        </w:numPr>
        <w:spacing w:after="0"/>
        <w:rPr>
          <w:rFonts w:ascii="Verdana" w:hAnsi="Verdana"/>
        </w:rPr>
      </w:pPr>
      <w:r w:rsidRPr="001C70AC">
        <w:rPr>
          <w:rFonts w:ascii="Verdana" w:hAnsi="Verdana"/>
        </w:rPr>
        <w:lastRenderedPageBreak/>
        <w:t xml:space="preserve">This data clearly covers all the </w:t>
      </w:r>
      <w:r w:rsidR="001C70AC" w:rsidRPr="001C70AC">
        <w:rPr>
          <w:rFonts w:ascii="Verdana" w:hAnsi="Verdana"/>
        </w:rPr>
        <w:t>long- and short-term</w:t>
      </w:r>
      <w:r w:rsidRPr="001C70AC">
        <w:rPr>
          <w:rFonts w:ascii="Verdana" w:hAnsi="Verdana"/>
        </w:rPr>
        <w:t xml:space="preserve"> </w:t>
      </w:r>
      <w:r w:rsidR="00E07362">
        <w:rPr>
          <w:rFonts w:ascii="Verdana" w:hAnsi="Verdana"/>
        </w:rPr>
        <w:t>borrowing</w:t>
      </w:r>
      <w:r w:rsidR="00E07362" w:rsidRPr="001C70AC">
        <w:rPr>
          <w:rFonts w:ascii="Verdana" w:hAnsi="Verdana"/>
        </w:rPr>
        <w:t xml:space="preserve"> </w:t>
      </w:r>
      <w:r w:rsidRPr="001C70AC">
        <w:rPr>
          <w:rFonts w:ascii="Verdana" w:hAnsi="Verdana"/>
        </w:rPr>
        <w:t xml:space="preserve">across the sector and reflects the details of the wider treasury management function rather than </w:t>
      </w:r>
      <w:r w:rsidR="00193773" w:rsidRPr="001C70AC">
        <w:rPr>
          <w:rFonts w:ascii="Verdana" w:hAnsi="Verdana"/>
        </w:rPr>
        <w:t xml:space="preserve">just </w:t>
      </w:r>
      <w:r w:rsidRPr="001C70AC">
        <w:rPr>
          <w:rFonts w:ascii="Verdana" w:hAnsi="Verdana"/>
        </w:rPr>
        <w:t>the core costs associated with borrowing to support new developments.  To that extent staff at the SHR have confirmed that it is difficult to make a direct comparison</w:t>
      </w:r>
      <w:r w:rsidR="001311C5" w:rsidRPr="001C70AC">
        <w:rPr>
          <w:rFonts w:ascii="Verdana" w:hAnsi="Verdana"/>
        </w:rPr>
        <w:t xml:space="preserve"> or to identify a “typical” rate.  </w:t>
      </w:r>
    </w:p>
    <w:p w14:paraId="7CDD1AD7" w14:textId="495B94BA" w:rsidR="00F838B7" w:rsidRDefault="00F838B7" w:rsidP="00D3636F">
      <w:pPr>
        <w:spacing w:after="0"/>
        <w:rPr>
          <w:rFonts w:ascii="Verdana" w:hAnsi="Verdana"/>
        </w:rPr>
      </w:pPr>
    </w:p>
    <w:p w14:paraId="59658FB1" w14:textId="6F23A952" w:rsidR="00F838B7" w:rsidRPr="001C70AC" w:rsidRDefault="00F838B7" w:rsidP="001C70AC">
      <w:pPr>
        <w:pStyle w:val="ListParagraph"/>
        <w:numPr>
          <w:ilvl w:val="0"/>
          <w:numId w:val="6"/>
        </w:numPr>
        <w:spacing w:after="0"/>
        <w:rPr>
          <w:rFonts w:ascii="Verdana" w:hAnsi="Verdana"/>
        </w:rPr>
      </w:pPr>
      <w:r w:rsidRPr="001C70AC">
        <w:rPr>
          <w:rFonts w:ascii="Verdana" w:hAnsi="Verdana"/>
        </w:rPr>
        <w:t xml:space="preserve">However, figure </w:t>
      </w:r>
      <w:r w:rsidR="00FC4C93" w:rsidRPr="001C70AC">
        <w:rPr>
          <w:rFonts w:ascii="Verdana" w:hAnsi="Verdana"/>
        </w:rPr>
        <w:t xml:space="preserve">15 in the report provides details of new borrowing during 2018/19.  </w:t>
      </w:r>
      <w:r w:rsidR="00A96D2F" w:rsidRPr="001C70AC">
        <w:rPr>
          <w:rFonts w:ascii="Verdana" w:hAnsi="Verdana"/>
        </w:rPr>
        <w:t xml:space="preserve">157 </w:t>
      </w:r>
      <w:r w:rsidR="00FC4C93" w:rsidRPr="001C70AC">
        <w:rPr>
          <w:rFonts w:ascii="Verdana" w:hAnsi="Verdana"/>
        </w:rPr>
        <w:t xml:space="preserve">Loans </w:t>
      </w:r>
      <w:r w:rsidR="00A96D2F" w:rsidRPr="001C70AC">
        <w:rPr>
          <w:rFonts w:ascii="Verdana" w:hAnsi="Verdana"/>
        </w:rPr>
        <w:t xml:space="preserve">totalling £673m were taken out during the year of which </w:t>
      </w:r>
      <w:r w:rsidR="001616EC" w:rsidRPr="001C70AC">
        <w:rPr>
          <w:rFonts w:ascii="Verdana" w:hAnsi="Verdana"/>
        </w:rPr>
        <w:t xml:space="preserve">57 </w:t>
      </w:r>
      <w:r w:rsidR="00F14EDB" w:rsidRPr="001C70AC">
        <w:rPr>
          <w:rFonts w:ascii="Verdana" w:hAnsi="Verdana"/>
        </w:rPr>
        <w:t xml:space="preserve">loans </w:t>
      </w:r>
      <w:r w:rsidR="001616EC" w:rsidRPr="001C70AC">
        <w:rPr>
          <w:rFonts w:ascii="Verdana" w:hAnsi="Verdana"/>
        </w:rPr>
        <w:t xml:space="preserve">totalling </w:t>
      </w:r>
      <w:r w:rsidR="00B53B64" w:rsidRPr="001C70AC">
        <w:rPr>
          <w:rFonts w:ascii="Verdana" w:hAnsi="Verdana"/>
        </w:rPr>
        <w:t>£386.3m were on fixed rates with a median cost of 3.72%.  The next largest group of loans</w:t>
      </w:r>
      <w:r w:rsidR="00B4486E" w:rsidRPr="001C70AC">
        <w:rPr>
          <w:rFonts w:ascii="Verdana" w:hAnsi="Verdana"/>
        </w:rPr>
        <w:t xml:space="preserve"> </w:t>
      </w:r>
      <w:r w:rsidR="00BB0370" w:rsidRPr="001C70AC">
        <w:rPr>
          <w:rFonts w:ascii="Verdana" w:hAnsi="Verdana"/>
        </w:rPr>
        <w:t>totalling</w:t>
      </w:r>
      <w:r w:rsidR="00B4486E" w:rsidRPr="001C70AC">
        <w:rPr>
          <w:rFonts w:ascii="Verdana" w:hAnsi="Verdana"/>
        </w:rPr>
        <w:t xml:space="preserve"> £227m were on short term rates with a median value of </w:t>
      </w:r>
      <w:r w:rsidR="00BB0370" w:rsidRPr="001C70AC">
        <w:rPr>
          <w:rFonts w:ascii="Verdana" w:hAnsi="Verdana"/>
        </w:rPr>
        <w:t>1.4%.</w:t>
      </w:r>
    </w:p>
    <w:p w14:paraId="11E38551" w14:textId="607E3C5B" w:rsidR="00890288" w:rsidRDefault="00890288" w:rsidP="00D3636F">
      <w:pPr>
        <w:spacing w:after="0"/>
        <w:rPr>
          <w:rFonts w:ascii="Verdana" w:hAnsi="Verdana"/>
        </w:rPr>
      </w:pPr>
    </w:p>
    <w:p w14:paraId="65DE5748" w14:textId="2903851C" w:rsidR="00890288" w:rsidRPr="00944003" w:rsidRDefault="00890288" w:rsidP="00944003">
      <w:pPr>
        <w:pStyle w:val="ListParagraph"/>
        <w:numPr>
          <w:ilvl w:val="0"/>
          <w:numId w:val="6"/>
        </w:numPr>
        <w:spacing w:after="0"/>
        <w:rPr>
          <w:rFonts w:ascii="Verdana" w:hAnsi="Verdana"/>
        </w:rPr>
      </w:pPr>
      <w:r w:rsidRPr="00944003">
        <w:rPr>
          <w:rFonts w:ascii="Verdana" w:hAnsi="Verdana"/>
        </w:rPr>
        <w:t>The figures for 2019</w:t>
      </w:r>
      <w:r w:rsidR="00EA10E0" w:rsidRPr="00944003">
        <w:rPr>
          <w:rFonts w:ascii="Verdana" w:hAnsi="Verdana"/>
        </w:rPr>
        <w:t>/20 for new borrowing</w:t>
      </w:r>
      <w:r w:rsidR="002A21A6" w:rsidRPr="00944003">
        <w:rPr>
          <w:rFonts w:ascii="Verdana" w:hAnsi="Verdana"/>
        </w:rPr>
        <w:t xml:space="preserve"> by RSLs</w:t>
      </w:r>
      <w:r w:rsidR="00EA10E0" w:rsidRPr="00944003">
        <w:rPr>
          <w:rFonts w:ascii="Verdana" w:hAnsi="Verdana"/>
        </w:rPr>
        <w:t xml:space="preserve"> show 37 fixed term loans totalling £583m at a median rate of </w:t>
      </w:r>
      <w:r w:rsidR="00F87C38" w:rsidRPr="00944003">
        <w:rPr>
          <w:rFonts w:ascii="Verdana" w:hAnsi="Verdana"/>
        </w:rPr>
        <w:t>2.8%</w:t>
      </w:r>
    </w:p>
    <w:p w14:paraId="2260D3B5" w14:textId="77A67AD3" w:rsidR="00FE7645" w:rsidRDefault="00FE7645" w:rsidP="00D3636F">
      <w:pPr>
        <w:spacing w:after="0"/>
        <w:rPr>
          <w:rFonts w:ascii="Verdana" w:hAnsi="Verdana"/>
        </w:rPr>
      </w:pPr>
    </w:p>
    <w:p w14:paraId="2EA1A339" w14:textId="7D8FF523" w:rsidR="00EB4C4F" w:rsidRPr="001C70AC" w:rsidRDefault="00966EA0" w:rsidP="001C70AC">
      <w:pPr>
        <w:pStyle w:val="ListParagraph"/>
        <w:numPr>
          <w:ilvl w:val="0"/>
          <w:numId w:val="6"/>
        </w:numPr>
        <w:spacing w:after="0"/>
        <w:rPr>
          <w:rFonts w:ascii="Verdana" w:hAnsi="Verdana"/>
        </w:rPr>
      </w:pPr>
      <w:proofErr w:type="gramStart"/>
      <w:r w:rsidRPr="001C70AC">
        <w:rPr>
          <w:rFonts w:ascii="Verdana" w:hAnsi="Verdana"/>
        </w:rPr>
        <w:t>Overall</w:t>
      </w:r>
      <w:proofErr w:type="gramEnd"/>
      <w:r w:rsidRPr="001C70AC">
        <w:rPr>
          <w:rFonts w:ascii="Verdana" w:hAnsi="Verdana"/>
        </w:rPr>
        <w:t xml:space="preserve"> t</w:t>
      </w:r>
      <w:r w:rsidR="00842ABD" w:rsidRPr="001C70AC">
        <w:rPr>
          <w:rFonts w:ascii="Verdana" w:hAnsi="Verdana"/>
        </w:rPr>
        <w:t>his</w:t>
      </w:r>
      <w:r w:rsidR="00FE7645" w:rsidRPr="001C70AC">
        <w:rPr>
          <w:rFonts w:ascii="Verdana" w:hAnsi="Verdana"/>
        </w:rPr>
        <w:t xml:space="preserve"> suggests that </w:t>
      </w:r>
      <w:r w:rsidR="00F976DB" w:rsidRPr="001C70AC">
        <w:rPr>
          <w:rFonts w:ascii="Verdana" w:hAnsi="Verdana"/>
        </w:rPr>
        <w:t xml:space="preserve">the costs of </w:t>
      </w:r>
      <w:r w:rsidR="00FE7645" w:rsidRPr="001C70AC">
        <w:rPr>
          <w:rFonts w:ascii="Verdana" w:hAnsi="Verdana"/>
        </w:rPr>
        <w:t xml:space="preserve">borrowing for RSLs is at broadly similar rates to those </w:t>
      </w:r>
      <w:r w:rsidR="00F976DB" w:rsidRPr="001C70AC">
        <w:rPr>
          <w:rFonts w:ascii="Verdana" w:hAnsi="Verdana"/>
        </w:rPr>
        <w:t>of local authorities</w:t>
      </w:r>
      <w:r w:rsidR="00FE7645" w:rsidRPr="001C70AC">
        <w:rPr>
          <w:rFonts w:ascii="Verdana" w:hAnsi="Verdana"/>
        </w:rPr>
        <w:t>.</w:t>
      </w:r>
      <w:r w:rsidR="00C8677E" w:rsidRPr="001C70AC">
        <w:rPr>
          <w:rFonts w:ascii="Verdana" w:hAnsi="Verdana"/>
        </w:rPr>
        <w:t xml:space="preserve">  </w:t>
      </w:r>
      <w:r w:rsidRPr="001C70AC">
        <w:rPr>
          <w:rFonts w:ascii="Verdana" w:hAnsi="Verdana"/>
        </w:rPr>
        <w:t xml:space="preserve">In both sectors the cost of borrowing has fallen in recent years but there is no evidence to suggest that Councils are </w:t>
      </w:r>
      <w:r w:rsidR="00826B9E" w:rsidRPr="001C70AC">
        <w:rPr>
          <w:rFonts w:ascii="Verdana" w:hAnsi="Verdana"/>
        </w:rPr>
        <w:t>paying significantly less overall.</w:t>
      </w:r>
    </w:p>
    <w:p w14:paraId="2E0D7AE3" w14:textId="77777777" w:rsidR="00EB4C4F" w:rsidRDefault="00EB4C4F" w:rsidP="00D3636F">
      <w:pPr>
        <w:spacing w:after="0"/>
        <w:rPr>
          <w:rFonts w:ascii="Verdana" w:hAnsi="Verdana"/>
        </w:rPr>
      </w:pPr>
    </w:p>
    <w:p w14:paraId="08611A0F" w14:textId="3E3C4162" w:rsidR="00221525" w:rsidRPr="00221525" w:rsidRDefault="00221525" w:rsidP="00D3636F">
      <w:pPr>
        <w:spacing w:after="0"/>
        <w:rPr>
          <w:rFonts w:ascii="Verdana" w:hAnsi="Verdana"/>
          <w:b/>
          <w:bCs/>
        </w:rPr>
      </w:pPr>
      <w:r w:rsidRPr="00221525">
        <w:rPr>
          <w:rFonts w:ascii="Verdana" w:hAnsi="Verdana"/>
          <w:b/>
          <w:bCs/>
        </w:rPr>
        <w:t>Other sources of funding for new homes</w:t>
      </w:r>
    </w:p>
    <w:p w14:paraId="4F3EF045" w14:textId="3C945418" w:rsidR="00BB0370" w:rsidRDefault="00BB0370" w:rsidP="00D3636F">
      <w:pPr>
        <w:spacing w:after="0"/>
        <w:rPr>
          <w:rFonts w:ascii="Verdana" w:hAnsi="Verdana"/>
        </w:rPr>
      </w:pPr>
    </w:p>
    <w:p w14:paraId="056F6CDE" w14:textId="75B8788A" w:rsidR="006826CD" w:rsidRPr="001C70AC" w:rsidRDefault="006826CD" w:rsidP="001C70AC">
      <w:pPr>
        <w:pStyle w:val="ListParagraph"/>
        <w:numPr>
          <w:ilvl w:val="0"/>
          <w:numId w:val="6"/>
        </w:numPr>
        <w:spacing w:after="0"/>
        <w:rPr>
          <w:rFonts w:ascii="Verdana" w:hAnsi="Verdana"/>
        </w:rPr>
      </w:pPr>
      <w:r w:rsidRPr="001C70AC">
        <w:rPr>
          <w:rFonts w:ascii="Verdana" w:hAnsi="Verdana"/>
        </w:rPr>
        <w:t>The More Homes Division outturn report for 201</w:t>
      </w:r>
      <w:r w:rsidR="000425AD" w:rsidRPr="001C70AC">
        <w:rPr>
          <w:rFonts w:ascii="Verdana" w:hAnsi="Verdana"/>
        </w:rPr>
        <w:t>9</w:t>
      </w:r>
      <w:r w:rsidRPr="001C70AC">
        <w:rPr>
          <w:rFonts w:ascii="Verdana" w:hAnsi="Verdana"/>
        </w:rPr>
        <w:t>/</w:t>
      </w:r>
      <w:r w:rsidR="002F442D" w:rsidRPr="001C70AC">
        <w:rPr>
          <w:rFonts w:ascii="Verdana" w:hAnsi="Verdana"/>
        </w:rPr>
        <w:t xml:space="preserve">20 </w:t>
      </w:r>
      <w:r w:rsidRPr="001C70AC">
        <w:rPr>
          <w:rFonts w:ascii="Verdana" w:hAnsi="Verdana"/>
        </w:rPr>
        <w:t>includes some details of the way councils and RSLs f</w:t>
      </w:r>
      <w:r w:rsidR="00DF78A0">
        <w:rPr>
          <w:rFonts w:ascii="Verdana" w:hAnsi="Verdana"/>
        </w:rPr>
        <w:t>in</w:t>
      </w:r>
      <w:r w:rsidR="00681D6B">
        <w:rPr>
          <w:rFonts w:ascii="Verdana" w:hAnsi="Verdana"/>
        </w:rPr>
        <w:t>ance the development of new homes</w:t>
      </w:r>
      <w:r w:rsidR="00703630">
        <w:rPr>
          <w:rStyle w:val="FootnoteReference"/>
          <w:rFonts w:ascii="Verdana" w:hAnsi="Verdana"/>
        </w:rPr>
        <w:footnoteReference w:id="4"/>
      </w:r>
      <w:r w:rsidRPr="001C70AC">
        <w:rPr>
          <w:rFonts w:ascii="Verdana" w:hAnsi="Verdana"/>
        </w:rPr>
        <w:t>.</w:t>
      </w:r>
      <w:r w:rsidR="002118D9">
        <w:rPr>
          <w:rFonts w:ascii="Verdana" w:hAnsi="Verdana"/>
        </w:rPr>
        <w:t xml:space="preserve">  </w:t>
      </w:r>
      <w:r w:rsidR="00F50FCF">
        <w:rPr>
          <w:rFonts w:ascii="Verdana" w:hAnsi="Verdana"/>
        </w:rPr>
        <w:t>T</w:t>
      </w:r>
      <w:r w:rsidRPr="001C70AC">
        <w:rPr>
          <w:rFonts w:ascii="Verdana" w:hAnsi="Verdana"/>
        </w:rPr>
        <w:t xml:space="preserve">hese </w:t>
      </w:r>
      <w:r w:rsidR="00D46C3F">
        <w:rPr>
          <w:rFonts w:ascii="Verdana" w:hAnsi="Verdana"/>
        </w:rPr>
        <w:t xml:space="preserve">details </w:t>
      </w:r>
      <w:r w:rsidRPr="001C70AC">
        <w:rPr>
          <w:rFonts w:ascii="Verdana" w:hAnsi="Verdana"/>
        </w:rPr>
        <w:t xml:space="preserve">are set out in table </w:t>
      </w:r>
      <w:r w:rsidR="00B54942" w:rsidRPr="001C70AC">
        <w:rPr>
          <w:rFonts w:ascii="Verdana" w:hAnsi="Verdana"/>
        </w:rPr>
        <w:t>11</w:t>
      </w:r>
      <w:r w:rsidRPr="001C70AC">
        <w:rPr>
          <w:rFonts w:ascii="Verdana" w:hAnsi="Verdana"/>
        </w:rPr>
        <w:t xml:space="preserve"> </w:t>
      </w:r>
      <w:r w:rsidR="00D46C3F">
        <w:rPr>
          <w:rFonts w:ascii="Verdana" w:hAnsi="Verdana"/>
        </w:rPr>
        <w:t>and include</w:t>
      </w:r>
      <w:r w:rsidRPr="001C70AC">
        <w:rPr>
          <w:rFonts w:ascii="Verdana" w:hAnsi="Verdana"/>
        </w:rPr>
        <w:t>:</w:t>
      </w:r>
    </w:p>
    <w:p w14:paraId="3FB7FEEC" w14:textId="77777777" w:rsidR="0056443A" w:rsidRPr="006826CD" w:rsidRDefault="0056443A" w:rsidP="006826CD">
      <w:pPr>
        <w:spacing w:after="0"/>
        <w:rPr>
          <w:rFonts w:ascii="Verdana" w:hAnsi="Verdana"/>
        </w:rPr>
      </w:pPr>
    </w:p>
    <w:p w14:paraId="1EB02F42" w14:textId="77777777" w:rsidR="006826CD" w:rsidRPr="006826CD" w:rsidRDefault="006826CD" w:rsidP="00EE1C16">
      <w:pPr>
        <w:spacing w:after="0"/>
        <w:rPr>
          <w:rFonts w:ascii="Verdana" w:hAnsi="Verdana"/>
        </w:rPr>
      </w:pPr>
      <w:r w:rsidRPr="006826CD">
        <w:rPr>
          <w:rFonts w:ascii="Verdana" w:hAnsi="Verdana"/>
        </w:rPr>
        <w:tab/>
      </w:r>
      <w:r w:rsidRPr="006826CD">
        <w:rPr>
          <w:rFonts w:ascii="Verdana" w:hAnsi="Verdana"/>
        </w:rPr>
        <w:tab/>
        <w:t>SG funding:</w:t>
      </w:r>
      <w:r w:rsidRPr="006826CD">
        <w:rPr>
          <w:rFonts w:ascii="Verdana" w:hAnsi="Verdana"/>
        </w:rPr>
        <w:tab/>
      </w:r>
      <w:r w:rsidRPr="006826CD">
        <w:rPr>
          <w:rFonts w:ascii="Verdana" w:hAnsi="Verdana"/>
        </w:rPr>
        <w:tab/>
      </w:r>
      <w:r w:rsidRPr="006826CD">
        <w:rPr>
          <w:rFonts w:ascii="Verdana" w:hAnsi="Verdana"/>
        </w:rPr>
        <w:tab/>
        <w:t>Grants from the Scottish Government.</w:t>
      </w:r>
    </w:p>
    <w:p w14:paraId="6811A9B3" w14:textId="3EC2768B" w:rsidR="006826CD" w:rsidRPr="006826CD" w:rsidRDefault="006826CD" w:rsidP="006826CD">
      <w:pPr>
        <w:spacing w:after="0"/>
        <w:rPr>
          <w:rFonts w:ascii="Verdana" w:hAnsi="Verdana"/>
        </w:rPr>
      </w:pPr>
      <w:r w:rsidRPr="006826CD">
        <w:rPr>
          <w:rFonts w:ascii="Verdana" w:hAnsi="Verdana"/>
        </w:rPr>
        <w:tab/>
      </w:r>
      <w:r w:rsidRPr="006826CD">
        <w:rPr>
          <w:rFonts w:ascii="Verdana" w:hAnsi="Verdana"/>
        </w:rPr>
        <w:tab/>
      </w:r>
      <w:r w:rsidR="001C70AC">
        <w:rPr>
          <w:rFonts w:ascii="Verdana" w:hAnsi="Verdana"/>
        </w:rPr>
        <w:t>P</w:t>
      </w:r>
      <w:r w:rsidRPr="006826CD">
        <w:rPr>
          <w:rFonts w:ascii="Verdana" w:hAnsi="Verdana"/>
        </w:rPr>
        <w:t>rivate finance:</w:t>
      </w:r>
      <w:r w:rsidRPr="006826CD">
        <w:rPr>
          <w:rFonts w:ascii="Verdana" w:hAnsi="Verdana"/>
        </w:rPr>
        <w:tab/>
      </w:r>
      <w:r w:rsidRPr="006826CD">
        <w:rPr>
          <w:rFonts w:ascii="Verdana" w:hAnsi="Verdana"/>
        </w:rPr>
        <w:tab/>
        <w:t>Borrowing by either RSLs or councils.</w:t>
      </w:r>
    </w:p>
    <w:p w14:paraId="3856E30C" w14:textId="454A78B4" w:rsidR="006826CD" w:rsidRPr="006826CD" w:rsidRDefault="006826CD" w:rsidP="006826CD">
      <w:pPr>
        <w:spacing w:after="0"/>
        <w:rPr>
          <w:rFonts w:ascii="Verdana" w:hAnsi="Verdana"/>
        </w:rPr>
      </w:pPr>
      <w:r w:rsidRPr="006826CD">
        <w:rPr>
          <w:rFonts w:ascii="Verdana" w:hAnsi="Verdana"/>
        </w:rPr>
        <w:tab/>
      </w:r>
      <w:r w:rsidRPr="006826CD">
        <w:rPr>
          <w:rFonts w:ascii="Verdana" w:hAnsi="Verdana"/>
        </w:rPr>
        <w:tab/>
      </w:r>
      <w:r w:rsidR="001C70AC">
        <w:rPr>
          <w:rFonts w:ascii="Verdana" w:hAnsi="Verdana"/>
        </w:rPr>
        <w:t>P</w:t>
      </w:r>
      <w:r w:rsidRPr="006826CD">
        <w:rPr>
          <w:rFonts w:ascii="Verdana" w:hAnsi="Verdana"/>
        </w:rPr>
        <w:t>ublic Finance:</w:t>
      </w:r>
      <w:r w:rsidRPr="006826CD">
        <w:rPr>
          <w:rFonts w:ascii="Verdana" w:hAnsi="Verdana"/>
        </w:rPr>
        <w:tab/>
      </w:r>
      <w:r w:rsidRPr="006826CD">
        <w:rPr>
          <w:rFonts w:ascii="Verdana" w:hAnsi="Verdana"/>
        </w:rPr>
        <w:tab/>
        <w:t xml:space="preserve">Including 2nd Homes Council Tax Income; </w:t>
      </w:r>
      <w:r w:rsidRPr="006826CD">
        <w:rPr>
          <w:rFonts w:ascii="Verdana" w:hAnsi="Verdana"/>
        </w:rPr>
        <w:tab/>
      </w:r>
      <w:r w:rsidRPr="006826CD">
        <w:rPr>
          <w:rFonts w:ascii="Verdana" w:hAnsi="Verdana"/>
        </w:rPr>
        <w:tab/>
      </w:r>
      <w:r w:rsidRPr="006826CD">
        <w:rPr>
          <w:rFonts w:ascii="Verdana" w:hAnsi="Verdana"/>
        </w:rPr>
        <w:tab/>
      </w:r>
      <w:r w:rsidRPr="006826CD">
        <w:rPr>
          <w:rFonts w:ascii="Verdana" w:hAnsi="Verdana"/>
        </w:rPr>
        <w:tab/>
      </w:r>
      <w:r w:rsidRPr="006826CD">
        <w:rPr>
          <w:rFonts w:ascii="Verdana" w:hAnsi="Verdana"/>
        </w:rPr>
        <w:tab/>
      </w:r>
      <w:r w:rsidRPr="006826CD">
        <w:rPr>
          <w:rFonts w:ascii="Verdana" w:hAnsi="Verdana"/>
        </w:rPr>
        <w:tab/>
        <w:t xml:space="preserve">Developer Contributions through </w:t>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t>c</w:t>
      </w:r>
      <w:r w:rsidRPr="006826CD">
        <w:rPr>
          <w:rFonts w:ascii="Verdana" w:hAnsi="Verdana"/>
        </w:rPr>
        <w:t>ommuted</w:t>
      </w:r>
      <w:r w:rsidR="00A41525">
        <w:rPr>
          <w:rFonts w:ascii="Verdana" w:hAnsi="Verdana"/>
        </w:rPr>
        <w:t xml:space="preserve"> </w:t>
      </w:r>
      <w:r w:rsidRPr="006826CD">
        <w:rPr>
          <w:rFonts w:ascii="Verdana" w:hAnsi="Verdana"/>
        </w:rPr>
        <w:t xml:space="preserve">Sums; Public Sector </w:t>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r>
      <w:r w:rsidR="00A41525">
        <w:rPr>
          <w:rFonts w:ascii="Verdana" w:hAnsi="Verdana"/>
        </w:rPr>
        <w:tab/>
        <w:t>c</w:t>
      </w:r>
      <w:r w:rsidRPr="006826CD">
        <w:rPr>
          <w:rFonts w:ascii="Verdana" w:hAnsi="Verdana"/>
        </w:rPr>
        <w:t>ontributions and;</w:t>
      </w:r>
      <w:r w:rsidR="009E4B80">
        <w:rPr>
          <w:rFonts w:ascii="Verdana" w:hAnsi="Verdana"/>
        </w:rPr>
        <w:t xml:space="preserve"> </w:t>
      </w:r>
      <w:r w:rsidRPr="006826CD">
        <w:rPr>
          <w:rFonts w:ascii="Verdana" w:hAnsi="Verdana"/>
        </w:rPr>
        <w:t xml:space="preserve">Capital Funded from </w:t>
      </w:r>
      <w:r w:rsidR="009E4B80">
        <w:rPr>
          <w:rFonts w:ascii="Verdana" w:hAnsi="Verdana"/>
        </w:rPr>
        <w:tab/>
      </w:r>
      <w:r w:rsidR="009E4B80">
        <w:rPr>
          <w:rFonts w:ascii="Verdana" w:hAnsi="Verdana"/>
        </w:rPr>
        <w:tab/>
      </w:r>
      <w:r w:rsidR="009E4B80">
        <w:rPr>
          <w:rFonts w:ascii="Verdana" w:hAnsi="Verdana"/>
        </w:rPr>
        <w:tab/>
      </w:r>
      <w:r w:rsidR="009E4B80">
        <w:rPr>
          <w:rFonts w:ascii="Verdana" w:hAnsi="Verdana"/>
        </w:rPr>
        <w:tab/>
      </w:r>
      <w:r w:rsidR="009E4B80">
        <w:rPr>
          <w:rFonts w:ascii="Verdana" w:hAnsi="Verdana"/>
        </w:rPr>
        <w:tab/>
      </w:r>
      <w:r w:rsidR="009E4B80">
        <w:rPr>
          <w:rFonts w:ascii="Verdana" w:hAnsi="Verdana"/>
        </w:rPr>
        <w:tab/>
      </w:r>
      <w:r w:rsidRPr="006826CD">
        <w:rPr>
          <w:rFonts w:ascii="Verdana" w:hAnsi="Verdana"/>
        </w:rPr>
        <w:t>Current Revenue (CFCR)</w:t>
      </w:r>
    </w:p>
    <w:p w14:paraId="78510DD6" w14:textId="77777777" w:rsidR="006826CD" w:rsidRPr="006826CD" w:rsidRDefault="006826CD" w:rsidP="006826CD">
      <w:pPr>
        <w:spacing w:after="0"/>
        <w:rPr>
          <w:rFonts w:ascii="Verdana" w:hAnsi="Verdana"/>
        </w:rPr>
      </w:pPr>
      <w:r w:rsidRPr="006826CD">
        <w:rPr>
          <w:rFonts w:ascii="Verdana" w:hAnsi="Verdana"/>
        </w:rPr>
        <w:tab/>
      </w:r>
    </w:p>
    <w:p w14:paraId="18F64527" w14:textId="4766D334" w:rsidR="00E14EFF" w:rsidRDefault="000A3113" w:rsidP="000A3113">
      <w:pPr>
        <w:pStyle w:val="ListParagraph"/>
        <w:numPr>
          <w:ilvl w:val="0"/>
          <w:numId w:val="6"/>
        </w:numPr>
        <w:spacing w:after="0"/>
        <w:rPr>
          <w:rFonts w:ascii="Verdana" w:hAnsi="Verdana"/>
        </w:rPr>
      </w:pPr>
      <w:r w:rsidRPr="000A3113">
        <w:rPr>
          <w:rFonts w:ascii="Verdana" w:hAnsi="Verdana"/>
        </w:rPr>
        <w:t xml:space="preserve">The published figures do show some apparent differences.  </w:t>
      </w:r>
      <w:proofErr w:type="gramStart"/>
      <w:r w:rsidRPr="000A3113">
        <w:rPr>
          <w:rFonts w:ascii="Verdana" w:hAnsi="Verdana"/>
        </w:rPr>
        <w:t>In particular Councils</w:t>
      </w:r>
      <w:proofErr w:type="gramEnd"/>
      <w:r w:rsidRPr="000A3113">
        <w:rPr>
          <w:rFonts w:ascii="Verdana" w:hAnsi="Verdana"/>
        </w:rPr>
        <w:t xml:space="preserve"> appear to have access to </w:t>
      </w:r>
      <w:r w:rsidR="00E14EFF">
        <w:rPr>
          <w:rFonts w:ascii="Verdana" w:hAnsi="Verdana"/>
        </w:rPr>
        <w:t>higher level of</w:t>
      </w:r>
      <w:r w:rsidRPr="000A3113">
        <w:rPr>
          <w:rFonts w:ascii="Verdana" w:hAnsi="Verdana"/>
        </w:rPr>
        <w:t xml:space="preserve"> “public finance”.</w:t>
      </w:r>
    </w:p>
    <w:p w14:paraId="4EC1424A" w14:textId="77777777" w:rsidR="00E14EFF" w:rsidRPr="00E14EFF" w:rsidRDefault="00E14EFF" w:rsidP="00E14EFF">
      <w:pPr>
        <w:spacing w:after="0"/>
        <w:ind w:left="360"/>
        <w:rPr>
          <w:rFonts w:ascii="Verdana" w:hAnsi="Verdana"/>
        </w:rPr>
      </w:pPr>
    </w:p>
    <w:p w14:paraId="5E79CC24" w14:textId="1A54EF23" w:rsidR="001B2CDE" w:rsidRPr="000A3113" w:rsidRDefault="00EE1C16" w:rsidP="000A3113">
      <w:pPr>
        <w:pStyle w:val="ListParagraph"/>
        <w:numPr>
          <w:ilvl w:val="0"/>
          <w:numId w:val="6"/>
        </w:numPr>
        <w:spacing w:after="0"/>
        <w:rPr>
          <w:rFonts w:ascii="Verdana" w:hAnsi="Verdana"/>
        </w:rPr>
      </w:pPr>
      <w:r w:rsidRPr="000A3113">
        <w:rPr>
          <w:rFonts w:ascii="Verdana" w:hAnsi="Verdana"/>
        </w:rPr>
        <w:t xml:space="preserve">In 2019/20 </w:t>
      </w:r>
      <w:r w:rsidR="00850B97" w:rsidRPr="000A3113">
        <w:rPr>
          <w:rFonts w:ascii="Verdana" w:hAnsi="Verdana"/>
        </w:rPr>
        <w:t>“</w:t>
      </w:r>
      <w:r w:rsidR="006826CD" w:rsidRPr="000A3113">
        <w:rPr>
          <w:rFonts w:ascii="Verdana" w:hAnsi="Verdana"/>
        </w:rPr>
        <w:t>Public finance</w:t>
      </w:r>
      <w:r w:rsidR="00850B97" w:rsidRPr="000A3113">
        <w:rPr>
          <w:rFonts w:ascii="Verdana" w:hAnsi="Verdana"/>
        </w:rPr>
        <w:t>”</w:t>
      </w:r>
      <w:r w:rsidR="006826CD" w:rsidRPr="000A3113">
        <w:rPr>
          <w:rFonts w:ascii="Verdana" w:hAnsi="Verdana"/>
        </w:rPr>
        <w:t xml:space="preserve"> provided £</w:t>
      </w:r>
      <w:r w:rsidR="00A25092" w:rsidRPr="000A3113">
        <w:rPr>
          <w:rFonts w:ascii="Verdana" w:hAnsi="Verdana"/>
        </w:rPr>
        <w:t>21,975</w:t>
      </w:r>
      <w:r w:rsidR="006826CD" w:rsidRPr="000A3113">
        <w:rPr>
          <w:rFonts w:ascii="Verdana" w:hAnsi="Verdana"/>
        </w:rPr>
        <w:t>,</w:t>
      </w:r>
      <w:r w:rsidR="00B36B83" w:rsidRPr="000A3113">
        <w:rPr>
          <w:rFonts w:ascii="Verdana" w:hAnsi="Verdana"/>
        </w:rPr>
        <w:t>663.95</w:t>
      </w:r>
      <w:r w:rsidR="006826CD" w:rsidRPr="000A3113">
        <w:rPr>
          <w:rFonts w:ascii="Verdana" w:hAnsi="Verdana"/>
        </w:rPr>
        <w:t xml:space="preserve"> or £</w:t>
      </w:r>
      <w:r w:rsidR="00FC26C8" w:rsidRPr="000A3113">
        <w:rPr>
          <w:rFonts w:ascii="Verdana" w:hAnsi="Verdana"/>
        </w:rPr>
        <w:t>6,695.81</w:t>
      </w:r>
      <w:r w:rsidR="006826CD" w:rsidRPr="000A3113">
        <w:rPr>
          <w:rFonts w:ascii="Verdana" w:hAnsi="Verdana"/>
        </w:rPr>
        <w:t xml:space="preserve"> (</w:t>
      </w:r>
      <w:r w:rsidR="008B072C" w:rsidRPr="000A3113">
        <w:rPr>
          <w:rFonts w:ascii="Verdana" w:hAnsi="Verdana"/>
        </w:rPr>
        <w:t>4.65</w:t>
      </w:r>
      <w:r w:rsidR="006826CD" w:rsidRPr="000A3113">
        <w:rPr>
          <w:rFonts w:ascii="Verdana" w:hAnsi="Verdana"/>
        </w:rPr>
        <w:t xml:space="preserve">%) per house for the </w:t>
      </w:r>
      <w:r w:rsidR="009E4B80" w:rsidRPr="000A3113">
        <w:rPr>
          <w:rFonts w:ascii="Verdana" w:hAnsi="Verdana"/>
        </w:rPr>
        <w:t>C</w:t>
      </w:r>
      <w:r w:rsidR="006826CD" w:rsidRPr="000A3113">
        <w:rPr>
          <w:rFonts w:ascii="Verdana" w:hAnsi="Verdana"/>
        </w:rPr>
        <w:t>ouncil house programme</w:t>
      </w:r>
      <w:r w:rsidR="00C5113C" w:rsidRPr="000A3113">
        <w:rPr>
          <w:rFonts w:ascii="Verdana" w:hAnsi="Verdana"/>
        </w:rPr>
        <w:t>.  For RSLs the equivalent figure</w:t>
      </w:r>
      <w:r w:rsidR="001B2CDE" w:rsidRPr="000A3113">
        <w:rPr>
          <w:rFonts w:ascii="Verdana" w:hAnsi="Verdana"/>
        </w:rPr>
        <w:t>s</w:t>
      </w:r>
      <w:r w:rsidR="00C5113C" w:rsidRPr="000A3113">
        <w:rPr>
          <w:rFonts w:ascii="Verdana" w:hAnsi="Verdana"/>
        </w:rPr>
        <w:t xml:space="preserve"> were a total of </w:t>
      </w:r>
      <w:r w:rsidR="00BC53BC" w:rsidRPr="000A3113">
        <w:rPr>
          <w:rFonts w:ascii="Verdana" w:hAnsi="Verdana"/>
        </w:rPr>
        <w:t>£8</w:t>
      </w:r>
      <w:r w:rsidR="00C5113C" w:rsidRPr="000A3113">
        <w:rPr>
          <w:rFonts w:ascii="Verdana" w:hAnsi="Verdana"/>
        </w:rPr>
        <w:t>,</w:t>
      </w:r>
      <w:r w:rsidR="00BC53BC" w:rsidRPr="000A3113">
        <w:rPr>
          <w:rFonts w:ascii="Verdana" w:hAnsi="Verdana"/>
        </w:rPr>
        <w:t>526</w:t>
      </w:r>
      <w:r w:rsidR="001B2CDE" w:rsidRPr="000A3113">
        <w:rPr>
          <w:rFonts w:ascii="Verdana" w:hAnsi="Verdana"/>
        </w:rPr>
        <w:t>,651.31 or</w:t>
      </w:r>
      <w:r w:rsidR="006826CD" w:rsidRPr="000A3113">
        <w:rPr>
          <w:rFonts w:ascii="Verdana" w:hAnsi="Verdana"/>
        </w:rPr>
        <w:t xml:space="preserve"> £1,</w:t>
      </w:r>
      <w:r w:rsidR="00546645" w:rsidRPr="000A3113">
        <w:rPr>
          <w:rFonts w:ascii="Verdana" w:hAnsi="Verdana"/>
        </w:rPr>
        <w:t>437.4</w:t>
      </w:r>
      <w:r w:rsidR="00743D04" w:rsidRPr="000A3113">
        <w:rPr>
          <w:rFonts w:ascii="Verdana" w:hAnsi="Verdana"/>
        </w:rPr>
        <w:t xml:space="preserve"> (</w:t>
      </w:r>
      <w:r w:rsidR="002E4477" w:rsidRPr="000A3113">
        <w:rPr>
          <w:rFonts w:ascii="Verdana" w:hAnsi="Verdana"/>
        </w:rPr>
        <w:t>0.9</w:t>
      </w:r>
      <w:r w:rsidR="00743D04" w:rsidRPr="000A3113">
        <w:rPr>
          <w:rFonts w:ascii="Verdana" w:hAnsi="Verdana"/>
        </w:rPr>
        <w:t>%)</w:t>
      </w:r>
      <w:r w:rsidR="00721814" w:rsidRPr="000A3113">
        <w:rPr>
          <w:rFonts w:ascii="Verdana" w:hAnsi="Verdana"/>
        </w:rPr>
        <w:t xml:space="preserve"> per house</w:t>
      </w:r>
      <w:r w:rsidR="001B2CDE" w:rsidRPr="000A3113">
        <w:rPr>
          <w:rFonts w:ascii="Verdana" w:hAnsi="Verdana"/>
        </w:rPr>
        <w:t>.</w:t>
      </w:r>
    </w:p>
    <w:p w14:paraId="03C87C3C" w14:textId="159B19BC" w:rsidR="0079029E" w:rsidRPr="00557020" w:rsidRDefault="009263D5" w:rsidP="00557020">
      <w:pPr>
        <w:pStyle w:val="ListParagraph"/>
        <w:numPr>
          <w:ilvl w:val="0"/>
          <w:numId w:val="6"/>
        </w:numPr>
        <w:spacing w:after="0"/>
        <w:rPr>
          <w:rFonts w:ascii="Verdana" w:hAnsi="Verdana"/>
        </w:rPr>
      </w:pPr>
      <w:r w:rsidRPr="00557020">
        <w:rPr>
          <w:rFonts w:ascii="Verdana" w:hAnsi="Verdana"/>
        </w:rPr>
        <w:t xml:space="preserve">The published information </w:t>
      </w:r>
      <w:proofErr w:type="gramStart"/>
      <w:r w:rsidRPr="00557020">
        <w:rPr>
          <w:rFonts w:ascii="Verdana" w:hAnsi="Verdana"/>
        </w:rPr>
        <w:t>isn’t</w:t>
      </w:r>
      <w:proofErr w:type="gramEnd"/>
      <w:r w:rsidRPr="00557020">
        <w:rPr>
          <w:rFonts w:ascii="Verdana" w:hAnsi="Verdana"/>
        </w:rPr>
        <w:t xml:space="preserve"> sufficiently detailed to state definitively what </w:t>
      </w:r>
      <w:r w:rsidR="0079029E" w:rsidRPr="00557020">
        <w:rPr>
          <w:rFonts w:ascii="Verdana" w:hAnsi="Verdana"/>
        </w:rPr>
        <w:t>the balance is between 2</w:t>
      </w:r>
      <w:r w:rsidR="0079029E" w:rsidRPr="00557020">
        <w:rPr>
          <w:rFonts w:ascii="Verdana" w:hAnsi="Verdana"/>
          <w:vertAlign w:val="superscript"/>
        </w:rPr>
        <w:t>nd</w:t>
      </w:r>
      <w:r w:rsidR="0079029E" w:rsidRPr="00557020">
        <w:rPr>
          <w:rFonts w:ascii="Verdana" w:hAnsi="Verdana"/>
        </w:rPr>
        <w:t xml:space="preserve"> homes Council tax, developer contributions, public sector contributions or CFCR in</w:t>
      </w:r>
      <w:r w:rsidRPr="00557020">
        <w:rPr>
          <w:rFonts w:ascii="Verdana" w:hAnsi="Verdana"/>
        </w:rPr>
        <w:t xml:space="preserve"> “public finance” element of either part of the programme.</w:t>
      </w:r>
    </w:p>
    <w:p w14:paraId="2CDA5995" w14:textId="77777777" w:rsidR="0079029E" w:rsidRDefault="0079029E" w:rsidP="006826CD">
      <w:pPr>
        <w:spacing w:after="0"/>
        <w:rPr>
          <w:rFonts w:ascii="Verdana" w:hAnsi="Verdana"/>
        </w:rPr>
      </w:pPr>
    </w:p>
    <w:p w14:paraId="5CE7D3B8" w14:textId="77777777" w:rsidR="00CA4006" w:rsidRDefault="009263D5" w:rsidP="001C70AC">
      <w:pPr>
        <w:pStyle w:val="ListParagraph"/>
        <w:numPr>
          <w:ilvl w:val="0"/>
          <w:numId w:val="6"/>
        </w:numPr>
        <w:spacing w:after="0"/>
        <w:rPr>
          <w:rFonts w:ascii="Verdana" w:hAnsi="Verdana"/>
        </w:rPr>
      </w:pPr>
      <w:r w:rsidRPr="001C70AC">
        <w:rPr>
          <w:rFonts w:ascii="Verdana" w:hAnsi="Verdana"/>
        </w:rPr>
        <w:lastRenderedPageBreak/>
        <w:t>However</w:t>
      </w:r>
      <w:r w:rsidR="004C7245" w:rsidRPr="001C70AC">
        <w:rPr>
          <w:rFonts w:ascii="Verdana" w:hAnsi="Verdana"/>
        </w:rPr>
        <w:t>,</w:t>
      </w:r>
      <w:r w:rsidRPr="001C70AC">
        <w:rPr>
          <w:rFonts w:ascii="Verdana" w:hAnsi="Verdana"/>
        </w:rPr>
        <w:t xml:space="preserve"> i</w:t>
      </w:r>
      <w:r w:rsidR="006826CD" w:rsidRPr="001C70AC">
        <w:rPr>
          <w:rFonts w:ascii="Verdana" w:hAnsi="Verdana"/>
        </w:rPr>
        <w:t>n the same year councils reported that</w:t>
      </w:r>
      <w:r w:rsidR="0004582B" w:rsidRPr="001C70AC">
        <w:rPr>
          <w:rFonts w:ascii="Verdana" w:hAnsi="Verdana"/>
        </w:rPr>
        <w:t xml:space="preserve"> their overall </w:t>
      </w:r>
      <w:r w:rsidR="00ED221D" w:rsidRPr="001C70AC">
        <w:rPr>
          <w:rFonts w:ascii="Verdana" w:hAnsi="Verdana"/>
        </w:rPr>
        <w:t xml:space="preserve">housing </w:t>
      </w:r>
      <w:r w:rsidR="0004582B" w:rsidRPr="001C70AC">
        <w:rPr>
          <w:rFonts w:ascii="Verdana" w:hAnsi="Verdana"/>
        </w:rPr>
        <w:t xml:space="preserve">capital programme </w:t>
      </w:r>
      <w:r w:rsidR="00511015" w:rsidRPr="001C70AC">
        <w:rPr>
          <w:rFonts w:ascii="Verdana" w:hAnsi="Verdana"/>
        </w:rPr>
        <w:t xml:space="preserve">finance package </w:t>
      </w:r>
      <w:r w:rsidR="0004582B" w:rsidRPr="001C70AC">
        <w:rPr>
          <w:rFonts w:ascii="Verdana" w:hAnsi="Verdana"/>
        </w:rPr>
        <w:t>included</w:t>
      </w:r>
      <w:r w:rsidR="00CA4006">
        <w:rPr>
          <w:rFonts w:ascii="Verdana" w:hAnsi="Verdana"/>
        </w:rPr>
        <w:t>:</w:t>
      </w:r>
      <w:r w:rsidR="006826CD" w:rsidRPr="001C70AC">
        <w:rPr>
          <w:rFonts w:ascii="Verdana" w:hAnsi="Verdana"/>
        </w:rPr>
        <w:t xml:space="preserve"> </w:t>
      </w:r>
    </w:p>
    <w:p w14:paraId="35EE77C2" w14:textId="36DAFD22" w:rsidR="00CA4006" w:rsidRDefault="006826CD" w:rsidP="00CA4006">
      <w:pPr>
        <w:pStyle w:val="ListParagraph"/>
        <w:numPr>
          <w:ilvl w:val="1"/>
          <w:numId w:val="6"/>
        </w:numPr>
        <w:spacing w:after="0"/>
        <w:rPr>
          <w:rFonts w:ascii="Verdana" w:hAnsi="Verdana"/>
        </w:rPr>
      </w:pPr>
      <w:r w:rsidRPr="001C70AC">
        <w:rPr>
          <w:rFonts w:ascii="Verdana" w:hAnsi="Verdana"/>
        </w:rPr>
        <w:t>CFCR of £25</w:t>
      </w:r>
      <w:r w:rsidR="00CD5765" w:rsidRPr="001C70AC">
        <w:rPr>
          <w:rFonts w:ascii="Verdana" w:hAnsi="Verdana"/>
        </w:rPr>
        <w:t>2</w:t>
      </w:r>
      <w:r w:rsidRPr="001C70AC">
        <w:rPr>
          <w:rFonts w:ascii="Verdana" w:hAnsi="Verdana"/>
        </w:rPr>
        <w:t>,</w:t>
      </w:r>
      <w:r w:rsidR="00CD5765" w:rsidRPr="001C70AC">
        <w:rPr>
          <w:rFonts w:ascii="Verdana" w:hAnsi="Verdana"/>
        </w:rPr>
        <w:t>920</w:t>
      </w:r>
      <w:r w:rsidRPr="001C70AC">
        <w:rPr>
          <w:rFonts w:ascii="Verdana" w:hAnsi="Verdana"/>
        </w:rPr>
        <w:t>,000</w:t>
      </w:r>
      <w:r w:rsidR="0004582B" w:rsidRPr="001C70AC">
        <w:rPr>
          <w:rFonts w:ascii="Verdana" w:hAnsi="Verdana"/>
        </w:rPr>
        <w:t>;</w:t>
      </w:r>
    </w:p>
    <w:p w14:paraId="55261A88" w14:textId="77777777" w:rsidR="00427DEE" w:rsidRDefault="006826CD" w:rsidP="00CA4006">
      <w:pPr>
        <w:pStyle w:val="ListParagraph"/>
        <w:numPr>
          <w:ilvl w:val="1"/>
          <w:numId w:val="6"/>
        </w:numPr>
        <w:spacing w:after="0"/>
        <w:rPr>
          <w:rFonts w:ascii="Verdana" w:hAnsi="Verdana"/>
        </w:rPr>
      </w:pPr>
      <w:r w:rsidRPr="001C70AC">
        <w:rPr>
          <w:rFonts w:ascii="Verdana" w:hAnsi="Verdana"/>
        </w:rPr>
        <w:t>£50,862,000 from “other” sources</w:t>
      </w:r>
      <w:r w:rsidR="00427DEE">
        <w:rPr>
          <w:rFonts w:ascii="Verdana" w:hAnsi="Verdana"/>
        </w:rPr>
        <w:t>;</w:t>
      </w:r>
      <w:r w:rsidR="000B3D36" w:rsidRPr="001C70AC">
        <w:rPr>
          <w:rFonts w:ascii="Verdana" w:hAnsi="Verdana"/>
        </w:rPr>
        <w:t xml:space="preserve"> and</w:t>
      </w:r>
    </w:p>
    <w:p w14:paraId="7D309572" w14:textId="31D4B916" w:rsidR="00E05946" w:rsidRPr="001C70AC" w:rsidRDefault="00063F82" w:rsidP="00CA4006">
      <w:pPr>
        <w:pStyle w:val="ListParagraph"/>
        <w:numPr>
          <w:ilvl w:val="1"/>
          <w:numId w:val="6"/>
        </w:numPr>
        <w:spacing w:after="0"/>
        <w:rPr>
          <w:rFonts w:ascii="Verdana" w:hAnsi="Verdana"/>
        </w:rPr>
      </w:pPr>
      <w:r w:rsidRPr="001C70AC">
        <w:rPr>
          <w:rFonts w:ascii="Verdana" w:hAnsi="Verdana"/>
        </w:rPr>
        <w:t xml:space="preserve">£32,917,000 </w:t>
      </w:r>
      <w:r w:rsidR="004D7028" w:rsidRPr="001C70AC">
        <w:rPr>
          <w:rFonts w:ascii="Verdana" w:hAnsi="Verdana"/>
        </w:rPr>
        <w:t xml:space="preserve">from capital </w:t>
      </w:r>
      <w:r w:rsidR="00511015" w:rsidRPr="001C70AC">
        <w:rPr>
          <w:rFonts w:ascii="Verdana" w:hAnsi="Verdana"/>
        </w:rPr>
        <w:t>receipts.</w:t>
      </w:r>
      <w:r w:rsidR="006826CD" w:rsidRPr="001C70AC">
        <w:rPr>
          <w:rFonts w:ascii="Verdana" w:hAnsi="Verdana"/>
        </w:rPr>
        <w:t xml:space="preserve"> </w:t>
      </w:r>
    </w:p>
    <w:p w14:paraId="3E7332DF" w14:textId="77777777" w:rsidR="00E05946" w:rsidRDefault="00E05946" w:rsidP="006826CD">
      <w:pPr>
        <w:spacing w:after="0"/>
        <w:rPr>
          <w:rFonts w:ascii="Verdana" w:hAnsi="Verdana"/>
        </w:rPr>
      </w:pPr>
    </w:p>
    <w:p w14:paraId="216AEC12" w14:textId="25636E97" w:rsidR="00BB0370" w:rsidRPr="001C70AC" w:rsidRDefault="00E05946" w:rsidP="001C70AC">
      <w:pPr>
        <w:pStyle w:val="ListParagraph"/>
        <w:numPr>
          <w:ilvl w:val="0"/>
          <w:numId w:val="6"/>
        </w:numPr>
        <w:spacing w:after="0"/>
        <w:rPr>
          <w:rFonts w:ascii="Verdana" w:hAnsi="Verdana"/>
        </w:rPr>
      </w:pPr>
      <w:r w:rsidRPr="001C70AC">
        <w:rPr>
          <w:rFonts w:ascii="Verdana" w:hAnsi="Verdana"/>
        </w:rPr>
        <w:t xml:space="preserve">The conclusion from this is </w:t>
      </w:r>
      <w:r w:rsidR="006826CD" w:rsidRPr="001C70AC">
        <w:rPr>
          <w:rFonts w:ascii="Verdana" w:hAnsi="Verdana"/>
        </w:rPr>
        <w:t xml:space="preserve">that </w:t>
      </w:r>
      <w:r w:rsidR="003A4477">
        <w:rPr>
          <w:rFonts w:ascii="Verdana" w:hAnsi="Verdana"/>
        </w:rPr>
        <w:t>greater part</w:t>
      </w:r>
      <w:r w:rsidR="006826CD" w:rsidRPr="001C70AC">
        <w:rPr>
          <w:rFonts w:ascii="Verdana" w:hAnsi="Verdana"/>
        </w:rPr>
        <w:t xml:space="preserve"> of the “public finance” </w:t>
      </w:r>
      <w:r w:rsidR="00C067C9" w:rsidRPr="001C70AC">
        <w:rPr>
          <w:rFonts w:ascii="Verdana" w:hAnsi="Verdana"/>
        </w:rPr>
        <w:t xml:space="preserve">element of the Council new supply programme was </w:t>
      </w:r>
      <w:r w:rsidR="006826CD" w:rsidRPr="001C70AC">
        <w:rPr>
          <w:rFonts w:ascii="Verdana" w:hAnsi="Verdana"/>
        </w:rPr>
        <w:t>derived directly from rents</w:t>
      </w:r>
      <w:r w:rsidR="00C067C9" w:rsidRPr="001C70AC">
        <w:rPr>
          <w:rFonts w:ascii="Verdana" w:hAnsi="Verdana"/>
        </w:rPr>
        <w:t>, mainly through CFCR</w:t>
      </w:r>
      <w:r w:rsidR="00D0304E" w:rsidRPr="001C70AC">
        <w:rPr>
          <w:rFonts w:ascii="Verdana" w:hAnsi="Verdana"/>
        </w:rPr>
        <w:t xml:space="preserve"> but also including an element from the sale of HRA assets</w:t>
      </w:r>
      <w:r w:rsidR="006826CD" w:rsidRPr="001C70AC">
        <w:rPr>
          <w:rFonts w:ascii="Verdana" w:hAnsi="Verdana"/>
        </w:rPr>
        <w:t>.</w:t>
      </w:r>
      <w:r w:rsidR="003A4477">
        <w:rPr>
          <w:rFonts w:ascii="Verdana" w:hAnsi="Verdana"/>
        </w:rPr>
        <w:t xml:space="preserve">  It does not represent a</w:t>
      </w:r>
      <w:r w:rsidR="008C7836">
        <w:rPr>
          <w:rFonts w:ascii="Verdana" w:hAnsi="Verdana"/>
        </w:rPr>
        <w:t xml:space="preserve"> significant</w:t>
      </w:r>
      <w:r w:rsidR="003A4477">
        <w:rPr>
          <w:rFonts w:ascii="Verdana" w:hAnsi="Verdana"/>
        </w:rPr>
        <w:t xml:space="preserve"> additional source of finance not available to RSLs or</w:t>
      </w:r>
      <w:r w:rsidR="00E2621D">
        <w:rPr>
          <w:rFonts w:ascii="Verdana" w:hAnsi="Verdana"/>
        </w:rPr>
        <w:t xml:space="preserve"> reduce the burden on rents in a way that advantages Councils over RSLs.</w:t>
      </w:r>
    </w:p>
    <w:p w14:paraId="279F00CE" w14:textId="19EE9742" w:rsidR="00CD02CC" w:rsidRDefault="00CD02CC" w:rsidP="006826CD">
      <w:pPr>
        <w:spacing w:after="0"/>
        <w:rPr>
          <w:rFonts w:ascii="Verdana" w:hAnsi="Verdana"/>
        </w:rPr>
      </w:pPr>
    </w:p>
    <w:p w14:paraId="712D9032" w14:textId="56FDE0F6" w:rsidR="00CD02CC" w:rsidRDefault="00CD02CC" w:rsidP="006826CD">
      <w:pPr>
        <w:spacing w:after="0"/>
        <w:rPr>
          <w:rFonts w:ascii="Verdana" w:hAnsi="Verdana"/>
          <w:b/>
          <w:bCs/>
        </w:rPr>
      </w:pPr>
      <w:r w:rsidRPr="00CD02CC">
        <w:rPr>
          <w:rFonts w:ascii="Verdana" w:hAnsi="Verdana"/>
          <w:b/>
          <w:bCs/>
        </w:rPr>
        <w:t>Land costs</w:t>
      </w:r>
    </w:p>
    <w:p w14:paraId="64AC15EE" w14:textId="38D24020" w:rsidR="00D9101A" w:rsidRDefault="00D9101A" w:rsidP="006826CD">
      <w:pPr>
        <w:spacing w:after="0"/>
        <w:rPr>
          <w:rFonts w:ascii="Verdana" w:hAnsi="Verdana"/>
          <w:b/>
          <w:bCs/>
        </w:rPr>
      </w:pPr>
    </w:p>
    <w:p w14:paraId="1BE23097" w14:textId="7A67B68F" w:rsidR="004C4D03" w:rsidRPr="001C70AC" w:rsidRDefault="00B00661" w:rsidP="001C70AC">
      <w:pPr>
        <w:pStyle w:val="ListParagraph"/>
        <w:numPr>
          <w:ilvl w:val="0"/>
          <w:numId w:val="6"/>
        </w:numPr>
        <w:spacing w:after="0"/>
        <w:rPr>
          <w:rFonts w:ascii="Verdana" w:hAnsi="Verdana"/>
        </w:rPr>
      </w:pPr>
      <w:r w:rsidRPr="001C70AC">
        <w:rPr>
          <w:rFonts w:ascii="Verdana" w:hAnsi="Verdana"/>
        </w:rPr>
        <w:t xml:space="preserve">The issue of land costs is </w:t>
      </w:r>
      <w:r w:rsidR="00562007" w:rsidRPr="001C70AC">
        <w:rPr>
          <w:rFonts w:ascii="Verdana" w:hAnsi="Verdana"/>
        </w:rPr>
        <w:t>probably</w:t>
      </w:r>
      <w:r w:rsidRPr="001C70AC">
        <w:rPr>
          <w:rFonts w:ascii="Verdana" w:hAnsi="Verdana"/>
        </w:rPr>
        <w:t xml:space="preserve"> the hardest to put any </w:t>
      </w:r>
      <w:r w:rsidR="00562007" w:rsidRPr="001C70AC">
        <w:rPr>
          <w:rFonts w:ascii="Verdana" w:hAnsi="Verdana"/>
        </w:rPr>
        <w:t xml:space="preserve">clear figures on.  There appears to be no published </w:t>
      </w:r>
      <w:r w:rsidR="003E04A9" w:rsidRPr="001C70AC">
        <w:rPr>
          <w:rFonts w:ascii="Verdana" w:hAnsi="Verdana"/>
        </w:rPr>
        <w:t xml:space="preserve">data on land costs in the affordable housing supply programme </w:t>
      </w:r>
      <w:r w:rsidR="00953E7E" w:rsidRPr="001C70AC">
        <w:rPr>
          <w:rFonts w:ascii="Verdana" w:hAnsi="Verdana"/>
        </w:rPr>
        <w:t xml:space="preserve">or </w:t>
      </w:r>
      <w:r w:rsidR="003E04A9" w:rsidRPr="001C70AC">
        <w:rPr>
          <w:rFonts w:ascii="Verdana" w:hAnsi="Verdana"/>
        </w:rPr>
        <w:t xml:space="preserve">recent academic studies on the subject.  Which is odd given how important land supply is to the overall programme.  The land market </w:t>
      </w:r>
      <w:proofErr w:type="gramStart"/>
      <w:r w:rsidR="003E04A9" w:rsidRPr="001C70AC">
        <w:rPr>
          <w:rFonts w:ascii="Verdana" w:hAnsi="Verdana"/>
        </w:rPr>
        <w:t>as a whole has</w:t>
      </w:r>
      <w:proofErr w:type="gramEnd"/>
      <w:r w:rsidR="003E04A9" w:rsidRPr="001C70AC">
        <w:rPr>
          <w:rFonts w:ascii="Verdana" w:hAnsi="Verdana"/>
        </w:rPr>
        <w:t xml:space="preserve"> been the subject of some more detailed work.</w:t>
      </w:r>
    </w:p>
    <w:p w14:paraId="6A2C22FE" w14:textId="77777777" w:rsidR="004C4D03" w:rsidRDefault="004C4D03" w:rsidP="006826CD">
      <w:pPr>
        <w:spacing w:after="0"/>
        <w:rPr>
          <w:rFonts w:ascii="Verdana" w:hAnsi="Verdana"/>
        </w:rPr>
      </w:pPr>
    </w:p>
    <w:p w14:paraId="5F7274D4" w14:textId="3CDB6695" w:rsidR="0006612D" w:rsidRPr="001C70AC" w:rsidRDefault="004C4D03" w:rsidP="001C70AC">
      <w:pPr>
        <w:pStyle w:val="ListParagraph"/>
        <w:numPr>
          <w:ilvl w:val="0"/>
          <w:numId w:val="6"/>
        </w:numPr>
        <w:spacing w:after="0"/>
        <w:rPr>
          <w:rFonts w:ascii="Verdana" w:hAnsi="Verdana"/>
        </w:rPr>
      </w:pPr>
      <w:r w:rsidRPr="001C70AC">
        <w:rPr>
          <w:rFonts w:ascii="Verdana" w:hAnsi="Verdana"/>
        </w:rPr>
        <w:t xml:space="preserve">The Scottish Land Commission’s </w:t>
      </w:r>
      <w:r w:rsidR="0006612D" w:rsidRPr="001C70AC">
        <w:rPr>
          <w:rFonts w:ascii="Verdana" w:hAnsi="Verdana"/>
        </w:rPr>
        <w:t xml:space="preserve">2017 </w:t>
      </w:r>
      <w:r w:rsidRPr="001C70AC">
        <w:rPr>
          <w:rFonts w:ascii="Verdana" w:hAnsi="Verdana"/>
        </w:rPr>
        <w:t xml:space="preserve">paper </w:t>
      </w:r>
      <w:r w:rsidR="0006612D" w:rsidRPr="001C70AC">
        <w:rPr>
          <w:rFonts w:ascii="Verdana" w:hAnsi="Verdana"/>
        </w:rPr>
        <w:t>“The Housing Land Market in Scotland” concluded:</w:t>
      </w:r>
    </w:p>
    <w:p w14:paraId="010D01C3" w14:textId="77777777" w:rsidR="0056443A" w:rsidRDefault="0056443A" w:rsidP="006826CD">
      <w:pPr>
        <w:spacing w:after="0"/>
        <w:rPr>
          <w:rFonts w:ascii="Verdana" w:hAnsi="Verdana"/>
        </w:rPr>
      </w:pPr>
    </w:p>
    <w:p w14:paraId="74F2DE58" w14:textId="11140F78" w:rsidR="00D9101A" w:rsidRDefault="0006612D" w:rsidP="0093532E">
      <w:pPr>
        <w:spacing w:after="0"/>
        <w:ind w:left="1440"/>
        <w:rPr>
          <w:rFonts w:ascii="Verdana" w:hAnsi="Verdana"/>
        </w:rPr>
      </w:pPr>
      <w:r>
        <w:rPr>
          <w:rFonts w:ascii="Verdana" w:hAnsi="Verdana"/>
        </w:rPr>
        <w:t>“</w:t>
      </w:r>
      <w:r w:rsidRPr="0006612D">
        <w:rPr>
          <w:rFonts w:ascii="Verdana" w:hAnsi="Verdana"/>
        </w:rPr>
        <w:t xml:space="preserve">The way the land market operates depends largely on the laws, </w:t>
      </w:r>
      <w:proofErr w:type="gramStart"/>
      <w:r w:rsidRPr="0006612D">
        <w:rPr>
          <w:rFonts w:ascii="Verdana" w:hAnsi="Verdana"/>
        </w:rPr>
        <w:t>institutions</w:t>
      </w:r>
      <w:proofErr w:type="gramEnd"/>
      <w:r w:rsidRPr="0006612D">
        <w:rPr>
          <w:rFonts w:ascii="Verdana" w:hAnsi="Verdana"/>
        </w:rPr>
        <w:t xml:space="preserve"> and</w:t>
      </w:r>
      <w:r>
        <w:rPr>
          <w:rFonts w:ascii="Verdana" w:hAnsi="Verdana"/>
        </w:rPr>
        <w:t xml:space="preserve"> </w:t>
      </w:r>
      <w:r w:rsidRPr="0006612D">
        <w:rPr>
          <w:rFonts w:ascii="Verdana" w:hAnsi="Verdana"/>
        </w:rPr>
        <w:t xml:space="preserve">political history of particular nations, and so varies </w:t>
      </w:r>
      <w:r w:rsidR="0093532E">
        <w:rPr>
          <w:rFonts w:ascii="Verdana" w:hAnsi="Verdana"/>
        </w:rPr>
        <w:t>w</w:t>
      </w:r>
      <w:r w:rsidRPr="0006612D">
        <w:rPr>
          <w:rFonts w:ascii="Verdana" w:hAnsi="Verdana"/>
        </w:rPr>
        <w:t>idely. In Scotland, the key</w:t>
      </w:r>
      <w:r>
        <w:rPr>
          <w:rFonts w:ascii="Verdana" w:hAnsi="Verdana"/>
        </w:rPr>
        <w:t xml:space="preserve"> </w:t>
      </w:r>
      <w:r w:rsidRPr="0006612D">
        <w:rPr>
          <w:rFonts w:ascii="Verdana" w:hAnsi="Verdana"/>
        </w:rPr>
        <w:t>characteristics are a reliance on the private sector operating on a speculative model</w:t>
      </w:r>
      <w:r>
        <w:rPr>
          <w:rFonts w:ascii="Verdana" w:hAnsi="Verdana"/>
        </w:rPr>
        <w:t xml:space="preserve"> </w:t>
      </w:r>
      <w:r w:rsidRPr="0006612D">
        <w:rPr>
          <w:rFonts w:ascii="Verdana" w:hAnsi="Verdana"/>
        </w:rPr>
        <w:t xml:space="preserve">to deliver new house building; a </w:t>
      </w:r>
      <w:r w:rsidR="0093532E">
        <w:rPr>
          <w:rFonts w:ascii="Verdana" w:hAnsi="Verdana"/>
        </w:rPr>
        <w:t>l</w:t>
      </w:r>
      <w:r w:rsidRPr="0006612D">
        <w:rPr>
          <w:rFonts w:ascii="Verdana" w:hAnsi="Verdana"/>
        </w:rPr>
        <w:t>egal framework that allocates the uplift in the</w:t>
      </w:r>
      <w:r>
        <w:rPr>
          <w:rFonts w:ascii="Verdana" w:hAnsi="Verdana"/>
        </w:rPr>
        <w:t xml:space="preserve"> </w:t>
      </w:r>
      <w:r w:rsidRPr="0006612D">
        <w:rPr>
          <w:rFonts w:ascii="Verdana" w:hAnsi="Verdana"/>
        </w:rPr>
        <w:t>value of land resulting from</w:t>
      </w:r>
      <w:r w:rsidR="0093532E">
        <w:rPr>
          <w:rFonts w:ascii="Verdana" w:hAnsi="Verdana"/>
        </w:rPr>
        <w:t xml:space="preserve"> </w:t>
      </w:r>
      <w:r w:rsidRPr="0006612D">
        <w:rPr>
          <w:rFonts w:ascii="Verdana" w:hAnsi="Verdana"/>
        </w:rPr>
        <w:t>planning permission to landowners rather than public</w:t>
      </w:r>
      <w:r>
        <w:rPr>
          <w:rFonts w:ascii="Verdana" w:hAnsi="Verdana"/>
        </w:rPr>
        <w:t xml:space="preserve"> </w:t>
      </w:r>
      <w:r w:rsidRPr="0006612D">
        <w:rPr>
          <w:rFonts w:ascii="Verdana" w:hAnsi="Verdana"/>
        </w:rPr>
        <w:t>authorities; a</w:t>
      </w:r>
      <w:r w:rsidR="0093532E">
        <w:rPr>
          <w:rFonts w:ascii="Verdana" w:hAnsi="Verdana"/>
        </w:rPr>
        <w:t xml:space="preserve"> </w:t>
      </w:r>
      <w:r w:rsidRPr="0006612D">
        <w:rPr>
          <w:rFonts w:ascii="Verdana" w:hAnsi="Verdana"/>
        </w:rPr>
        <w:t>liberalised mortgage credit market; a taxation system that is highly</w:t>
      </w:r>
      <w:r>
        <w:rPr>
          <w:rFonts w:ascii="Verdana" w:hAnsi="Verdana"/>
        </w:rPr>
        <w:t xml:space="preserve"> </w:t>
      </w:r>
      <w:r>
        <w:rPr>
          <w:rFonts w:ascii="Verdana" w:hAnsi="Verdana"/>
        </w:rPr>
        <w:tab/>
      </w:r>
      <w:r w:rsidRPr="0006612D">
        <w:rPr>
          <w:rFonts w:ascii="Verdana" w:hAnsi="Verdana"/>
        </w:rPr>
        <w:t>favourable to land and property; and a paucity of publicly available information on</w:t>
      </w:r>
      <w:r>
        <w:rPr>
          <w:rFonts w:ascii="Verdana" w:hAnsi="Verdana"/>
        </w:rPr>
        <w:t xml:space="preserve"> </w:t>
      </w:r>
      <w:r w:rsidRPr="0006612D">
        <w:rPr>
          <w:rFonts w:ascii="Verdana" w:hAnsi="Verdana"/>
        </w:rPr>
        <w:t>land values and ownership</w:t>
      </w:r>
      <w:r>
        <w:rPr>
          <w:rFonts w:ascii="Verdana" w:hAnsi="Verdana"/>
        </w:rPr>
        <w:t>.”</w:t>
      </w:r>
      <w:r w:rsidR="00F373C3">
        <w:rPr>
          <w:rStyle w:val="FootnoteReference"/>
          <w:rFonts w:ascii="Verdana" w:hAnsi="Verdana"/>
        </w:rPr>
        <w:footnoteReference w:id="5"/>
      </w:r>
    </w:p>
    <w:p w14:paraId="5A0FDCE4" w14:textId="2D99EB33" w:rsidR="00F373C3" w:rsidRDefault="00F373C3" w:rsidP="0006612D">
      <w:pPr>
        <w:spacing w:after="0"/>
        <w:rPr>
          <w:rFonts w:ascii="Verdana" w:hAnsi="Verdana"/>
        </w:rPr>
      </w:pPr>
    </w:p>
    <w:p w14:paraId="7779F7B3" w14:textId="63632746" w:rsidR="00CD02CC" w:rsidRPr="001C70AC" w:rsidRDefault="00D806A2" w:rsidP="001C70AC">
      <w:pPr>
        <w:pStyle w:val="ListParagraph"/>
        <w:numPr>
          <w:ilvl w:val="0"/>
          <w:numId w:val="6"/>
        </w:numPr>
        <w:spacing w:after="0"/>
        <w:rPr>
          <w:rFonts w:ascii="Verdana" w:hAnsi="Verdana"/>
        </w:rPr>
      </w:pPr>
      <w:r w:rsidRPr="001C70AC">
        <w:rPr>
          <w:rFonts w:ascii="Verdana" w:hAnsi="Verdana"/>
        </w:rPr>
        <w:t xml:space="preserve">The York/Herriot Watt study previously cited </w:t>
      </w:r>
      <w:r w:rsidR="004802AF" w:rsidRPr="001C70AC">
        <w:rPr>
          <w:rFonts w:ascii="Verdana" w:hAnsi="Verdana"/>
        </w:rPr>
        <w:t>opened its discussion of land availability and cost with the following:</w:t>
      </w:r>
    </w:p>
    <w:p w14:paraId="6011C5CB" w14:textId="77777777" w:rsidR="0056443A" w:rsidRDefault="0056443A" w:rsidP="006826CD">
      <w:pPr>
        <w:spacing w:after="0"/>
        <w:rPr>
          <w:rFonts w:ascii="Verdana" w:hAnsi="Verdana"/>
        </w:rPr>
      </w:pPr>
    </w:p>
    <w:p w14:paraId="3AD5C756" w14:textId="41776439" w:rsidR="004802AF" w:rsidRDefault="004802AF" w:rsidP="005A3681">
      <w:pPr>
        <w:spacing w:after="0"/>
        <w:ind w:left="1440"/>
        <w:rPr>
          <w:rFonts w:ascii="Verdana" w:hAnsi="Verdana"/>
        </w:rPr>
      </w:pPr>
      <w:r>
        <w:rPr>
          <w:rFonts w:ascii="Verdana" w:hAnsi="Verdana"/>
        </w:rPr>
        <w:t>“</w:t>
      </w:r>
      <w:r w:rsidRPr="004802AF">
        <w:rPr>
          <w:rFonts w:ascii="Verdana" w:hAnsi="Verdana"/>
        </w:rPr>
        <w:t xml:space="preserve">While new municipal housebuilding schemes have so far mainly </w:t>
      </w:r>
      <w:r w:rsidR="005A3681">
        <w:rPr>
          <w:rFonts w:ascii="Verdana" w:hAnsi="Verdana"/>
        </w:rPr>
        <w:t>i</w:t>
      </w:r>
      <w:r w:rsidRPr="004802AF">
        <w:rPr>
          <w:rFonts w:ascii="Verdana" w:hAnsi="Verdana"/>
        </w:rPr>
        <w:t>nvolved council</w:t>
      </w:r>
      <w:r>
        <w:rPr>
          <w:rFonts w:ascii="Verdana" w:hAnsi="Verdana"/>
        </w:rPr>
        <w:t xml:space="preserve"> </w:t>
      </w:r>
      <w:r w:rsidRPr="004802AF">
        <w:rPr>
          <w:rFonts w:ascii="Verdana" w:hAnsi="Verdana"/>
        </w:rPr>
        <w:t xml:space="preserve">owned land, the availability of sites in housing </w:t>
      </w:r>
      <w:r w:rsidR="005A3681">
        <w:rPr>
          <w:rFonts w:ascii="Verdana" w:hAnsi="Verdana"/>
        </w:rPr>
        <w:t>d</w:t>
      </w:r>
      <w:r w:rsidRPr="004802AF">
        <w:rPr>
          <w:rFonts w:ascii="Verdana" w:hAnsi="Verdana"/>
        </w:rPr>
        <w:t>epartment ownership (and therefore</w:t>
      </w:r>
      <w:r>
        <w:rPr>
          <w:rFonts w:ascii="Verdana" w:hAnsi="Verdana"/>
        </w:rPr>
        <w:t xml:space="preserve"> </w:t>
      </w:r>
      <w:r w:rsidRPr="004802AF">
        <w:rPr>
          <w:rFonts w:ascii="Verdana" w:hAnsi="Verdana"/>
        </w:rPr>
        <w:t>potentially available for development at nil cost) is very limited in some areas</w:t>
      </w:r>
      <w:r>
        <w:rPr>
          <w:rFonts w:ascii="Verdana" w:hAnsi="Verdana"/>
        </w:rPr>
        <w:t>.”</w:t>
      </w:r>
    </w:p>
    <w:p w14:paraId="667E57A6" w14:textId="2DAAED08" w:rsidR="004802AF" w:rsidRDefault="004802AF" w:rsidP="004802AF">
      <w:pPr>
        <w:spacing w:after="0"/>
        <w:rPr>
          <w:rFonts w:ascii="Verdana" w:hAnsi="Verdana"/>
        </w:rPr>
      </w:pPr>
    </w:p>
    <w:p w14:paraId="3ACA52DD" w14:textId="38690F83" w:rsidR="004802AF" w:rsidRPr="00944003" w:rsidRDefault="009F2234" w:rsidP="00944003">
      <w:pPr>
        <w:pStyle w:val="ListParagraph"/>
        <w:numPr>
          <w:ilvl w:val="0"/>
          <w:numId w:val="6"/>
        </w:numPr>
        <w:spacing w:after="0"/>
        <w:rPr>
          <w:rFonts w:ascii="Verdana" w:hAnsi="Verdana"/>
        </w:rPr>
      </w:pPr>
      <w:r w:rsidRPr="00944003">
        <w:rPr>
          <w:rFonts w:ascii="Verdana" w:hAnsi="Verdana"/>
        </w:rPr>
        <w:lastRenderedPageBreak/>
        <w:t>But no</w:t>
      </w:r>
      <w:r w:rsidR="009A5C0F" w:rsidRPr="00944003">
        <w:rPr>
          <w:rFonts w:ascii="Verdana" w:hAnsi="Verdana"/>
        </w:rPr>
        <w:t>where</w:t>
      </w:r>
      <w:r w:rsidRPr="00944003">
        <w:rPr>
          <w:rFonts w:ascii="Verdana" w:hAnsi="Verdana"/>
        </w:rPr>
        <w:t xml:space="preserve"> in the report is there any attempt to quantify the extent of the landbank held by local authorities either on the HRA or General fund.  To the extent that it offers any evidence in this respect it is based on a limited number of case studies.  The report goes on to say</w:t>
      </w:r>
      <w:r w:rsidR="003F57A4" w:rsidRPr="00944003">
        <w:rPr>
          <w:rFonts w:ascii="Verdana" w:hAnsi="Verdana"/>
        </w:rPr>
        <w:t>:</w:t>
      </w:r>
    </w:p>
    <w:p w14:paraId="6FF0ADF8" w14:textId="77777777" w:rsidR="0056443A" w:rsidRDefault="0056443A" w:rsidP="004802AF">
      <w:pPr>
        <w:spacing w:after="0"/>
        <w:rPr>
          <w:rFonts w:ascii="Verdana" w:hAnsi="Verdana"/>
        </w:rPr>
      </w:pPr>
    </w:p>
    <w:p w14:paraId="4C77F2CB" w14:textId="22706206" w:rsidR="003F57A4" w:rsidRDefault="003F57A4" w:rsidP="00BB44BD">
      <w:pPr>
        <w:spacing w:after="0"/>
        <w:ind w:left="1440"/>
        <w:rPr>
          <w:rFonts w:ascii="Verdana" w:hAnsi="Verdana"/>
        </w:rPr>
      </w:pPr>
      <w:r>
        <w:rPr>
          <w:rFonts w:ascii="Verdana" w:hAnsi="Verdana"/>
        </w:rPr>
        <w:t>“</w:t>
      </w:r>
      <w:r w:rsidRPr="003F57A4">
        <w:rPr>
          <w:rFonts w:ascii="Verdana" w:hAnsi="Verdana"/>
        </w:rPr>
        <w:t>However, while many local authorities will have held</w:t>
      </w:r>
      <w:r>
        <w:rPr>
          <w:rFonts w:ascii="Verdana" w:hAnsi="Verdana"/>
        </w:rPr>
        <w:t xml:space="preserve"> </w:t>
      </w:r>
      <w:r w:rsidRPr="003F57A4">
        <w:rPr>
          <w:rFonts w:ascii="Verdana" w:hAnsi="Verdana"/>
        </w:rPr>
        <w:t>substantial HRA landholdings in the past, much of this resource has been</w:t>
      </w:r>
      <w:r>
        <w:rPr>
          <w:rFonts w:ascii="Verdana" w:hAnsi="Verdana"/>
        </w:rPr>
        <w:t xml:space="preserve"> </w:t>
      </w:r>
      <w:r w:rsidRPr="003F57A4">
        <w:rPr>
          <w:rFonts w:ascii="Verdana" w:hAnsi="Verdana"/>
        </w:rPr>
        <w:t xml:space="preserve">used for RSL new </w:t>
      </w:r>
      <w:r>
        <w:rPr>
          <w:rFonts w:ascii="Verdana" w:hAnsi="Verdana"/>
        </w:rPr>
        <w:tab/>
      </w:r>
      <w:r w:rsidRPr="003F57A4">
        <w:rPr>
          <w:rFonts w:ascii="Verdana" w:hAnsi="Verdana"/>
        </w:rPr>
        <w:t>development over the past 10-15 years (including under</w:t>
      </w:r>
      <w:r>
        <w:rPr>
          <w:rFonts w:ascii="Verdana" w:hAnsi="Verdana"/>
        </w:rPr>
        <w:t xml:space="preserve"> </w:t>
      </w:r>
      <w:r w:rsidRPr="003F57A4">
        <w:rPr>
          <w:rFonts w:ascii="Verdana" w:hAnsi="Verdana"/>
        </w:rPr>
        <w:t>schemes</w:t>
      </w:r>
      <w:r w:rsidR="00BB44BD">
        <w:rPr>
          <w:rFonts w:ascii="Verdana" w:hAnsi="Verdana"/>
        </w:rPr>
        <w:t xml:space="preserve"> </w:t>
      </w:r>
      <w:r w:rsidRPr="003F57A4">
        <w:rPr>
          <w:rFonts w:ascii="Verdana" w:hAnsi="Verdana"/>
        </w:rPr>
        <w:t>associated with the local authority-sponsored RSLs established</w:t>
      </w:r>
      <w:r>
        <w:rPr>
          <w:rFonts w:ascii="Verdana" w:hAnsi="Verdana"/>
        </w:rPr>
        <w:t xml:space="preserve"> </w:t>
      </w:r>
      <w:r w:rsidRPr="003F57A4">
        <w:rPr>
          <w:rFonts w:ascii="Verdana" w:hAnsi="Verdana"/>
        </w:rPr>
        <w:t>under the New</w:t>
      </w:r>
      <w:r>
        <w:rPr>
          <w:rFonts w:ascii="Verdana" w:hAnsi="Verdana"/>
        </w:rPr>
        <w:t xml:space="preserve"> </w:t>
      </w:r>
      <w:r w:rsidRPr="003F57A4">
        <w:rPr>
          <w:rFonts w:ascii="Verdana" w:hAnsi="Verdana"/>
        </w:rPr>
        <w:t>Housing Partnerships programme). In many areas, RSL</w:t>
      </w:r>
      <w:r>
        <w:rPr>
          <w:rFonts w:ascii="Verdana" w:hAnsi="Verdana"/>
        </w:rPr>
        <w:t xml:space="preserve"> </w:t>
      </w:r>
      <w:r w:rsidRPr="003F57A4">
        <w:rPr>
          <w:rFonts w:ascii="Verdana" w:hAnsi="Verdana"/>
        </w:rPr>
        <w:t>building programmes have for many years relied largely on formerly council</w:t>
      </w:r>
      <w:r>
        <w:rPr>
          <w:rFonts w:ascii="Verdana" w:hAnsi="Verdana"/>
        </w:rPr>
        <w:t xml:space="preserve"> </w:t>
      </w:r>
      <w:r w:rsidRPr="003F57A4">
        <w:rPr>
          <w:rFonts w:ascii="Verdana" w:hAnsi="Verdana"/>
        </w:rPr>
        <w:t>owned land</w:t>
      </w:r>
      <w:r>
        <w:rPr>
          <w:rFonts w:ascii="Verdana" w:hAnsi="Verdana"/>
        </w:rPr>
        <w:t>.”</w:t>
      </w:r>
    </w:p>
    <w:p w14:paraId="75B3DCA0" w14:textId="1023D22D" w:rsidR="00074CDB" w:rsidRDefault="00074CDB" w:rsidP="003F57A4">
      <w:pPr>
        <w:spacing w:after="0"/>
        <w:rPr>
          <w:rFonts w:ascii="Verdana" w:hAnsi="Verdana"/>
        </w:rPr>
      </w:pPr>
    </w:p>
    <w:p w14:paraId="4942B920" w14:textId="108EF5E5" w:rsidR="00074CDB" w:rsidRPr="001C70AC" w:rsidRDefault="00074CDB" w:rsidP="001C70AC">
      <w:pPr>
        <w:pStyle w:val="ListParagraph"/>
        <w:numPr>
          <w:ilvl w:val="0"/>
          <w:numId w:val="6"/>
        </w:numPr>
        <w:spacing w:after="0"/>
        <w:rPr>
          <w:rFonts w:ascii="Verdana" w:hAnsi="Verdana"/>
        </w:rPr>
      </w:pPr>
      <w:r w:rsidRPr="001C70AC">
        <w:rPr>
          <w:rFonts w:ascii="Verdana" w:hAnsi="Verdana"/>
        </w:rPr>
        <w:t>The report concludes that:</w:t>
      </w:r>
    </w:p>
    <w:p w14:paraId="12C5E8D0" w14:textId="77777777" w:rsidR="0056443A" w:rsidRDefault="0056443A" w:rsidP="003F57A4">
      <w:pPr>
        <w:spacing w:after="0"/>
        <w:rPr>
          <w:rFonts w:ascii="Verdana" w:hAnsi="Verdana"/>
        </w:rPr>
      </w:pPr>
    </w:p>
    <w:p w14:paraId="4D0BE6C9" w14:textId="7CF9D66D" w:rsidR="00074CDB" w:rsidRDefault="00974303" w:rsidP="00BB44BD">
      <w:pPr>
        <w:spacing w:after="0"/>
        <w:ind w:left="1440"/>
        <w:rPr>
          <w:rFonts w:ascii="Verdana" w:hAnsi="Verdana"/>
        </w:rPr>
      </w:pPr>
      <w:r>
        <w:rPr>
          <w:rFonts w:ascii="Verdana" w:hAnsi="Verdana"/>
        </w:rPr>
        <w:t>“</w:t>
      </w:r>
      <w:r w:rsidR="00074CDB" w:rsidRPr="00074CDB">
        <w:rPr>
          <w:rFonts w:ascii="Verdana" w:hAnsi="Verdana"/>
        </w:rPr>
        <w:t>in many authorities a continued municipal</w:t>
      </w:r>
      <w:r w:rsidR="00074CDB">
        <w:rPr>
          <w:rFonts w:ascii="Verdana" w:hAnsi="Verdana"/>
        </w:rPr>
        <w:t xml:space="preserve"> </w:t>
      </w:r>
      <w:r w:rsidR="00074CDB" w:rsidRPr="00074CDB">
        <w:rPr>
          <w:rFonts w:ascii="Verdana" w:hAnsi="Verdana"/>
        </w:rPr>
        <w:t>housebuilding programme on any appreciable scale and over any appreciable</w:t>
      </w:r>
      <w:r w:rsidR="00074CDB">
        <w:rPr>
          <w:rFonts w:ascii="Verdana" w:hAnsi="Verdana"/>
        </w:rPr>
        <w:t xml:space="preserve"> </w:t>
      </w:r>
      <w:r w:rsidR="00074CDB" w:rsidRPr="00074CDB">
        <w:rPr>
          <w:rFonts w:ascii="Verdana" w:hAnsi="Verdana"/>
        </w:rPr>
        <w:t>period will call for land</w:t>
      </w:r>
      <w:r w:rsidR="00BB44BD">
        <w:rPr>
          <w:rFonts w:ascii="Verdana" w:hAnsi="Verdana"/>
        </w:rPr>
        <w:t xml:space="preserve"> </w:t>
      </w:r>
      <w:r>
        <w:rPr>
          <w:rFonts w:ascii="Verdana" w:hAnsi="Verdana"/>
        </w:rPr>
        <w:t>a</w:t>
      </w:r>
      <w:r w:rsidR="00074CDB" w:rsidRPr="00074CDB">
        <w:rPr>
          <w:rFonts w:ascii="Verdana" w:hAnsi="Verdana"/>
        </w:rPr>
        <w:t>cquisition exactly as is true for RSLs</w:t>
      </w:r>
      <w:r w:rsidR="009F2234">
        <w:rPr>
          <w:rFonts w:ascii="Verdana" w:hAnsi="Verdana"/>
        </w:rPr>
        <w:t>.”</w:t>
      </w:r>
    </w:p>
    <w:p w14:paraId="06F4FE55" w14:textId="7FCDB3E1" w:rsidR="00757225" w:rsidRDefault="00757225" w:rsidP="00074CDB">
      <w:pPr>
        <w:spacing w:after="0"/>
        <w:rPr>
          <w:rFonts w:ascii="Verdana" w:hAnsi="Verdana"/>
        </w:rPr>
      </w:pPr>
    </w:p>
    <w:p w14:paraId="117AB700" w14:textId="3A6FF4BF" w:rsidR="00757225" w:rsidRPr="001C70AC" w:rsidRDefault="00757225" w:rsidP="001C70AC">
      <w:pPr>
        <w:pStyle w:val="ListParagraph"/>
        <w:numPr>
          <w:ilvl w:val="0"/>
          <w:numId w:val="6"/>
        </w:numPr>
        <w:spacing w:after="0"/>
        <w:rPr>
          <w:rFonts w:ascii="Verdana" w:hAnsi="Verdana"/>
        </w:rPr>
      </w:pPr>
      <w:r w:rsidRPr="001C70AC">
        <w:rPr>
          <w:rFonts w:ascii="Verdana" w:hAnsi="Verdana"/>
        </w:rPr>
        <w:t xml:space="preserve">Given both the lack of evidence and this </w:t>
      </w:r>
      <w:proofErr w:type="gramStart"/>
      <w:r w:rsidRPr="001C70AC">
        <w:rPr>
          <w:rFonts w:ascii="Verdana" w:hAnsi="Verdana"/>
        </w:rPr>
        <w:t>final conclusion</w:t>
      </w:r>
      <w:proofErr w:type="gramEnd"/>
      <w:r w:rsidRPr="001C70AC">
        <w:rPr>
          <w:rFonts w:ascii="Verdana" w:hAnsi="Verdana"/>
        </w:rPr>
        <w:t xml:space="preserve"> it is perhaps a little odd that access to free or reduced cost land should continue to be used as justification for lower grant rates.</w:t>
      </w:r>
      <w:r w:rsidR="00D14D10" w:rsidRPr="001C70AC">
        <w:rPr>
          <w:rFonts w:ascii="Verdana" w:hAnsi="Verdana"/>
        </w:rPr>
        <w:t xml:space="preserve">  </w:t>
      </w:r>
    </w:p>
    <w:p w14:paraId="5E44E566" w14:textId="142152D9" w:rsidR="00D14D10" w:rsidRDefault="00D14D10" w:rsidP="00074CDB">
      <w:pPr>
        <w:spacing w:after="0"/>
        <w:rPr>
          <w:rFonts w:ascii="Verdana" w:hAnsi="Verdana"/>
        </w:rPr>
      </w:pPr>
    </w:p>
    <w:p w14:paraId="37AB1310" w14:textId="6C848B36" w:rsidR="00F4571C" w:rsidRPr="001C70AC" w:rsidRDefault="00D14D10" w:rsidP="001C70AC">
      <w:pPr>
        <w:pStyle w:val="ListParagraph"/>
        <w:numPr>
          <w:ilvl w:val="0"/>
          <w:numId w:val="6"/>
        </w:numPr>
        <w:spacing w:after="0"/>
        <w:rPr>
          <w:rFonts w:ascii="Verdana" w:hAnsi="Verdana"/>
        </w:rPr>
      </w:pPr>
      <w:r w:rsidRPr="001C70AC">
        <w:rPr>
          <w:rFonts w:ascii="Verdana" w:hAnsi="Verdana"/>
        </w:rPr>
        <w:t xml:space="preserve">In the light of this we have </w:t>
      </w:r>
      <w:proofErr w:type="gramStart"/>
      <w:r w:rsidRPr="001C70AC">
        <w:rPr>
          <w:rFonts w:ascii="Verdana" w:hAnsi="Verdana"/>
        </w:rPr>
        <w:t xml:space="preserve">made </w:t>
      </w:r>
      <w:r w:rsidR="0031112C">
        <w:rPr>
          <w:rFonts w:ascii="Verdana" w:hAnsi="Verdana"/>
        </w:rPr>
        <w:t>an</w:t>
      </w:r>
      <w:r w:rsidRPr="001C70AC">
        <w:rPr>
          <w:rFonts w:ascii="Verdana" w:hAnsi="Verdana"/>
        </w:rPr>
        <w:t xml:space="preserve"> effort</w:t>
      </w:r>
      <w:proofErr w:type="gramEnd"/>
      <w:r w:rsidRPr="001C70AC">
        <w:rPr>
          <w:rFonts w:ascii="Verdana" w:hAnsi="Verdana"/>
        </w:rPr>
        <w:t xml:space="preserve"> to provide some direct evidence on the subject.  A very brief survey of ALACHO members carried out in January 2021 resulted in 1</w:t>
      </w:r>
      <w:r w:rsidR="009C6F3F" w:rsidRPr="001C70AC">
        <w:rPr>
          <w:rFonts w:ascii="Verdana" w:hAnsi="Verdana"/>
        </w:rPr>
        <w:t>5</w:t>
      </w:r>
      <w:r w:rsidRPr="001C70AC">
        <w:rPr>
          <w:rFonts w:ascii="Verdana" w:hAnsi="Verdana"/>
        </w:rPr>
        <w:t xml:space="preserve"> returns (out of 26 stock holding councils). Most of those responding indicated that an existing land bank has been used in the current AHS programme and will feature in investment over the 2021-26 period.</w:t>
      </w:r>
      <w:r w:rsidR="001A0625">
        <w:rPr>
          <w:rFonts w:ascii="Verdana" w:hAnsi="Verdana"/>
        </w:rPr>
        <w:t xml:space="preserve">  The </w:t>
      </w:r>
      <w:r w:rsidR="00C26D15">
        <w:rPr>
          <w:rFonts w:ascii="Verdana" w:hAnsi="Verdana"/>
        </w:rPr>
        <w:t>details included:</w:t>
      </w:r>
    </w:p>
    <w:p w14:paraId="6BB23667" w14:textId="37E44CB2" w:rsidR="009D6457" w:rsidRDefault="00F4571C" w:rsidP="001752AC">
      <w:pPr>
        <w:pStyle w:val="ListParagraph"/>
        <w:numPr>
          <w:ilvl w:val="0"/>
          <w:numId w:val="7"/>
        </w:numPr>
        <w:spacing w:after="0"/>
        <w:rPr>
          <w:rFonts w:ascii="Verdana" w:hAnsi="Verdana"/>
        </w:rPr>
      </w:pPr>
      <w:r w:rsidRPr="00B840BD">
        <w:rPr>
          <w:rFonts w:ascii="Verdana" w:hAnsi="Verdana"/>
        </w:rPr>
        <w:t>Two of the 1</w:t>
      </w:r>
      <w:r w:rsidR="00FC00DF" w:rsidRPr="00B840BD">
        <w:rPr>
          <w:rFonts w:ascii="Verdana" w:hAnsi="Verdana"/>
        </w:rPr>
        <w:t>5</w:t>
      </w:r>
      <w:r w:rsidRPr="00B840BD">
        <w:rPr>
          <w:rFonts w:ascii="Verdana" w:hAnsi="Verdana"/>
        </w:rPr>
        <w:t xml:space="preserve"> had no landbank</w:t>
      </w:r>
      <w:r w:rsidR="004B5DB4" w:rsidRPr="00B840BD">
        <w:rPr>
          <w:rFonts w:ascii="Verdana" w:hAnsi="Verdana"/>
        </w:rPr>
        <w:t xml:space="preserve"> and</w:t>
      </w:r>
      <w:r w:rsidRPr="00B840BD">
        <w:rPr>
          <w:rFonts w:ascii="Verdana" w:hAnsi="Verdana"/>
        </w:rPr>
        <w:t xml:space="preserve"> relied exclusively on land being acquired commercially or through the planning system.</w:t>
      </w:r>
    </w:p>
    <w:p w14:paraId="7368D0A9" w14:textId="5B794F3F" w:rsidR="00F4571C" w:rsidRPr="00B840BD" w:rsidRDefault="00F4571C" w:rsidP="00B840BD">
      <w:pPr>
        <w:pStyle w:val="ListParagraph"/>
        <w:numPr>
          <w:ilvl w:val="0"/>
          <w:numId w:val="7"/>
        </w:numPr>
        <w:spacing w:after="0"/>
        <w:rPr>
          <w:rFonts w:ascii="Verdana" w:hAnsi="Verdana"/>
        </w:rPr>
      </w:pPr>
      <w:r w:rsidRPr="00B840BD">
        <w:rPr>
          <w:rFonts w:ascii="Verdana" w:hAnsi="Verdana"/>
        </w:rPr>
        <w:t>One council indicated that 100% of its programme over the past five year and for the period to 2026 would be on land already owned by the Council.</w:t>
      </w:r>
    </w:p>
    <w:p w14:paraId="531E45B7" w14:textId="5C8610C6" w:rsidR="00F4571C" w:rsidRPr="001C70AC" w:rsidRDefault="00F4571C" w:rsidP="00B840BD">
      <w:pPr>
        <w:pStyle w:val="ListParagraph"/>
        <w:numPr>
          <w:ilvl w:val="0"/>
          <w:numId w:val="7"/>
        </w:numPr>
        <w:spacing w:after="0"/>
        <w:rPr>
          <w:rFonts w:ascii="Verdana" w:hAnsi="Verdana"/>
        </w:rPr>
      </w:pPr>
      <w:r w:rsidRPr="001C70AC">
        <w:rPr>
          <w:rFonts w:ascii="Verdana" w:hAnsi="Verdana"/>
        </w:rPr>
        <w:t>For the remaining 1</w:t>
      </w:r>
      <w:r w:rsidR="00FC00DF" w:rsidRPr="001C70AC">
        <w:rPr>
          <w:rFonts w:ascii="Verdana" w:hAnsi="Verdana"/>
        </w:rPr>
        <w:t>2</w:t>
      </w:r>
      <w:r w:rsidRPr="001C70AC">
        <w:rPr>
          <w:rFonts w:ascii="Verdana" w:hAnsi="Verdana"/>
        </w:rPr>
        <w:t xml:space="preserve"> councils their existing landbank has provided between </w:t>
      </w:r>
      <w:r w:rsidR="00407BA8" w:rsidRPr="001C70AC">
        <w:rPr>
          <w:rFonts w:ascii="Verdana" w:hAnsi="Verdana"/>
        </w:rPr>
        <w:t>5</w:t>
      </w:r>
      <w:r w:rsidR="000D4CEA" w:rsidRPr="001C70AC">
        <w:rPr>
          <w:rFonts w:ascii="Verdana" w:hAnsi="Verdana"/>
        </w:rPr>
        <w:t>%</w:t>
      </w:r>
      <w:r w:rsidR="00407BA8" w:rsidRPr="001C70AC">
        <w:rPr>
          <w:rFonts w:ascii="Verdana" w:hAnsi="Verdana"/>
        </w:rPr>
        <w:t xml:space="preserve"> and 70% of the land required </w:t>
      </w:r>
      <w:r w:rsidR="004A51D5" w:rsidRPr="001C70AC">
        <w:rPr>
          <w:rFonts w:ascii="Verdana" w:hAnsi="Verdana"/>
        </w:rPr>
        <w:t>with a median value of 31%.</w:t>
      </w:r>
    </w:p>
    <w:p w14:paraId="6C563D32" w14:textId="77777777" w:rsidR="00B92ED7" w:rsidRDefault="00F44C7A" w:rsidP="00EE6152">
      <w:pPr>
        <w:pStyle w:val="ListParagraph"/>
        <w:numPr>
          <w:ilvl w:val="0"/>
          <w:numId w:val="7"/>
        </w:numPr>
        <w:spacing w:after="0"/>
        <w:rPr>
          <w:rFonts w:ascii="Verdana" w:hAnsi="Verdana"/>
        </w:rPr>
      </w:pPr>
      <w:r w:rsidRPr="00B92ED7">
        <w:rPr>
          <w:rFonts w:ascii="Verdana" w:hAnsi="Verdana"/>
        </w:rPr>
        <w:t>Looking forward to the 2021-26 programme these same 1</w:t>
      </w:r>
      <w:r w:rsidR="00FC00DF" w:rsidRPr="00B92ED7">
        <w:rPr>
          <w:rFonts w:ascii="Verdana" w:hAnsi="Verdana"/>
        </w:rPr>
        <w:t>2</w:t>
      </w:r>
      <w:r w:rsidRPr="00B92ED7">
        <w:rPr>
          <w:rFonts w:ascii="Verdana" w:hAnsi="Verdana"/>
        </w:rPr>
        <w:t xml:space="preserve"> councils provided a range of estimates of</w:t>
      </w:r>
      <w:r w:rsidR="00644A12" w:rsidRPr="00B92ED7">
        <w:rPr>
          <w:rFonts w:ascii="Verdana" w:hAnsi="Verdana"/>
        </w:rPr>
        <w:t xml:space="preserve"> from 8% to 30% of the future programme to be developed on council owned sites with a median value of 21%.</w:t>
      </w:r>
    </w:p>
    <w:p w14:paraId="63987D5E" w14:textId="006636F0" w:rsidR="00C55C55" w:rsidRPr="00B92ED7" w:rsidRDefault="00E80980" w:rsidP="00EE6152">
      <w:pPr>
        <w:pStyle w:val="ListParagraph"/>
        <w:numPr>
          <w:ilvl w:val="0"/>
          <w:numId w:val="7"/>
        </w:numPr>
        <w:spacing w:after="0"/>
        <w:rPr>
          <w:rFonts w:ascii="Verdana" w:hAnsi="Verdana"/>
        </w:rPr>
      </w:pPr>
      <w:r w:rsidRPr="00B92ED7">
        <w:rPr>
          <w:rFonts w:ascii="Verdana" w:hAnsi="Verdana"/>
        </w:rPr>
        <w:t>Six councils expected their land bank to provide a smaller proportion of development sites over the next five years.  Four reported that they would use more council land.</w:t>
      </w:r>
    </w:p>
    <w:p w14:paraId="315700D6" w14:textId="71C7DE64" w:rsidR="00DA0460" w:rsidRDefault="00DA0460" w:rsidP="00074CDB">
      <w:pPr>
        <w:spacing w:after="0"/>
        <w:rPr>
          <w:rFonts w:ascii="Verdana" w:hAnsi="Verdana"/>
        </w:rPr>
      </w:pPr>
    </w:p>
    <w:p w14:paraId="1BAB9B91" w14:textId="5791BD65" w:rsidR="00DA0460" w:rsidRPr="001C70AC" w:rsidRDefault="00DA0460" w:rsidP="001C70AC">
      <w:pPr>
        <w:pStyle w:val="ListParagraph"/>
        <w:numPr>
          <w:ilvl w:val="0"/>
          <w:numId w:val="6"/>
        </w:numPr>
        <w:spacing w:after="0"/>
        <w:rPr>
          <w:rFonts w:ascii="Verdana" w:hAnsi="Verdana"/>
        </w:rPr>
      </w:pPr>
      <w:r w:rsidRPr="001C70AC">
        <w:rPr>
          <w:rFonts w:ascii="Verdana" w:hAnsi="Verdana"/>
        </w:rPr>
        <w:t xml:space="preserve">This is, to be fair, a relatively unsophisticated study but it is probably safe to </w:t>
      </w:r>
      <w:r w:rsidR="00E80980" w:rsidRPr="001C70AC">
        <w:rPr>
          <w:rFonts w:ascii="Verdana" w:hAnsi="Verdana"/>
        </w:rPr>
        <w:t>conclude</w:t>
      </w:r>
      <w:r w:rsidRPr="001C70AC">
        <w:rPr>
          <w:rFonts w:ascii="Verdana" w:hAnsi="Verdana"/>
        </w:rPr>
        <w:t xml:space="preserve"> that:</w:t>
      </w:r>
    </w:p>
    <w:p w14:paraId="6DA4093C" w14:textId="77777777" w:rsidR="0056443A" w:rsidRDefault="0056443A" w:rsidP="00074CDB">
      <w:pPr>
        <w:spacing w:after="0"/>
        <w:rPr>
          <w:rFonts w:ascii="Verdana" w:hAnsi="Verdana"/>
        </w:rPr>
      </w:pPr>
    </w:p>
    <w:p w14:paraId="1A05B0ED" w14:textId="70A6E91A" w:rsidR="00FB4564" w:rsidRDefault="00FB4564" w:rsidP="00C4006F">
      <w:pPr>
        <w:pStyle w:val="ListParagraph"/>
        <w:numPr>
          <w:ilvl w:val="0"/>
          <w:numId w:val="2"/>
        </w:numPr>
        <w:spacing w:after="0"/>
        <w:rPr>
          <w:rFonts w:ascii="Verdana" w:hAnsi="Verdana"/>
        </w:rPr>
      </w:pPr>
      <w:r>
        <w:rPr>
          <w:rFonts w:ascii="Verdana" w:hAnsi="Verdana"/>
        </w:rPr>
        <w:lastRenderedPageBreak/>
        <w:t>A substantial part of the</w:t>
      </w:r>
      <w:r w:rsidR="00B92ED7">
        <w:rPr>
          <w:rFonts w:ascii="Verdana" w:hAnsi="Verdana"/>
        </w:rPr>
        <w:t xml:space="preserve"> historic</w:t>
      </w:r>
      <w:r>
        <w:rPr>
          <w:rFonts w:ascii="Verdana" w:hAnsi="Verdana"/>
        </w:rPr>
        <w:t xml:space="preserve"> HRA landbank was provided</w:t>
      </w:r>
      <w:r w:rsidR="00545C1B">
        <w:rPr>
          <w:rFonts w:ascii="Verdana" w:hAnsi="Verdana"/>
        </w:rPr>
        <w:t xml:space="preserve"> free or at below market value</w:t>
      </w:r>
      <w:r>
        <w:rPr>
          <w:rFonts w:ascii="Verdana" w:hAnsi="Verdana"/>
        </w:rPr>
        <w:t xml:space="preserve"> to RSLs to support their development programmes in the period between 1980 and 2010</w:t>
      </w:r>
      <w:r w:rsidR="00545C1B">
        <w:rPr>
          <w:rFonts w:ascii="Verdana" w:hAnsi="Verdana"/>
        </w:rPr>
        <w:t>;</w:t>
      </w:r>
    </w:p>
    <w:p w14:paraId="196DF495" w14:textId="4CEC22F3" w:rsidR="006D6C99" w:rsidRDefault="006D6C99" w:rsidP="00C4006F">
      <w:pPr>
        <w:pStyle w:val="ListParagraph"/>
        <w:numPr>
          <w:ilvl w:val="0"/>
          <w:numId w:val="2"/>
        </w:numPr>
        <w:spacing w:after="0"/>
        <w:rPr>
          <w:rFonts w:ascii="Verdana" w:hAnsi="Verdana"/>
        </w:rPr>
      </w:pPr>
      <w:r>
        <w:rPr>
          <w:rFonts w:ascii="Verdana" w:hAnsi="Verdana"/>
        </w:rPr>
        <w:t>Most Councils have access to some land to support their house building programme;</w:t>
      </w:r>
    </w:p>
    <w:p w14:paraId="46F003E0" w14:textId="0C399DF8" w:rsidR="00DA0460" w:rsidRPr="00C4006F" w:rsidRDefault="00DA0460" w:rsidP="00C4006F">
      <w:pPr>
        <w:pStyle w:val="ListParagraph"/>
        <w:numPr>
          <w:ilvl w:val="0"/>
          <w:numId w:val="2"/>
        </w:numPr>
        <w:spacing w:after="0"/>
        <w:rPr>
          <w:rFonts w:ascii="Verdana" w:hAnsi="Verdana"/>
        </w:rPr>
      </w:pPr>
      <w:r w:rsidRPr="00C4006F">
        <w:rPr>
          <w:rFonts w:ascii="Verdana" w:hAnsi="Verdana"/>
        </w:rPr>
        <w:t>Council owned landbanks have provided a significant, if locally variable proportion of the land used in local authority house building programmes over the past five years;</w:t>
      </w:r>
      <w:r w:rsidR="006D6C99">
        <w:rPr>
          <w:rFonts w:ascii="Verdana" w:hAnsi="Verdana"/>
        </w:rPr>
        <w:t xml:space="preserve"> and</w:t>
      </w:r>
    </w:p>
    <w:p w14:paraId="481F1E6C" w14:textId="1B3A9E28" w:rsidR="00DA0460" w:rsidRDefault="00C4006F" w:rsidP="00C4006F">
      <w:pPr>
        <w:pStyle w:val="ListParagraph"/>
        <w:numPr>
          <w:ilvl w:val="0"/>
          <w:numId w:val="2"/>
        </w:numPr>
        <w:spacing w:after="0"/>
        <w:rPr>
          <w:rFonts w:ascii="Verdana" w:hAnsi="Verdana"/>
        </w:rPr>
      </w:pPr>
      <w:r w:rsidRPr="00C4006F">
        <w:rPr>
          <w:rFonts w:ascii="Verdana" w:hAnsi="Verdana"/>
        </w:rPr>
        <w:t>Council landbanks will continue to provide some of the land required but at a lower level than in the recent past.</w:t>
      </w:r>
    </w:p>
    <w:p w14:paraId="32D22F9C" w14:textId="47B1DB23" w:rsidR="006D6C99" w:rsidRDefault="006D6C99" w:rsidP="006D6C99">
      <w:pPr>
        <w:spacing w:after="0"/>
        <w:rPr>
          <w:rFonts w:ascii="Verdana" w:hAnsi="Verdana"/>
        </w:rPr>
      </w:pPr>
    </w:p>
    <w:p w14:paraId="0D309A4C" w14:textId="47D7DDA7" w:rsidR="006D6C99" w:rsidRPr="001C70AC" w:rsidRDefault="006D6C99" w:rsidP="001C70AC">
      <w:pPr>
        <w:pStyle w:val="ListParagraph"/>
        <w:numPr>
          <w:ilvl w:val="0"/>
          <w:numId w:val="6"/>
        </w:numPr>
        <w:spacing w:after="0"/>
        <w:rPr>
          <w:rFonts w:ascii="Verdana" w:hAnsi="Verdana"/>
        </w:rPr>
      </w:pPr>
      <w:r w:rsidRPr="001C70AC">
        <w:rPr>
          <w:rFonts w:ascii="Verdana" w:hAnsi="Verdana"/>
        </w:rPr>
        <w:t>There is, however</w:t>
      </w:r>
      <w:r w:rsidR="0085024A" w:rsidRPr="001C70AC">
        <w:rPr>
          <w:rFonts w:ascii="Verdana" w:hAnsi="Verdana"/>
        </w:rPr>
        <w:t>,</w:t>
      </w:r>
      <w:r w:rsidRPr="001C70AC">
        <w:rPr>
          <w:rFonts w:ascii="Verdana" w:hAnsi="Verdana"/>
        </w:rPr>
        <w:t xml:space="preserve"> a big difference between having access to developable land and land that is “free”.  Most of the councils made comments on the nature of </w:t>
      </w:r>
      <w:r w:rsidR="00B3603E" w:rsidRPr="001C70AC">
        <w:rPr>
          <w:rFonts w:ascii="Verdana" w:hAnsi="Verdana"/>
        </w:rPr>
        <w:t>t</w:t>
      </w:r>
      <w:r w:rsidRPr="001C70AC">
        <w:rPr>
          <w:rFonts w:ascii="Verdana" w:hAnsi="Verdana"/>
        </w:rPr>
        <w:t>he landbank, its origins and cost associated with development.  These included:</w:t>
      </w:r>
    </w:p>
    <w:p w14:paraId="560F7AA7" w14:textId="2A302986" w:rsidR="006D6C99" w:rsidRPr="00E952EC" w:rsidRDefault="006D6C99" w:rsidP="00E952EC">
      <w:pPr>
        <w:pStyle w:val="ListParagraph"/>
        <w:numPr>
          <w:ilvl w:val="0"/>
          <w:numId w:val="3"/>
        </w:numPr>
        <w:spacing w:after="0"/>
        <w:rPr>
          <w:rFonts w:ascii="Verdana" w:hAnsi="Verdana"/>
        </w:rPr>
      </w:pPr>
      <w:r w:rsidRPr="00E952EC">
        <w:rPr>
          <w:rFonts w:ascii="Verdana" w:hAnsi="Verdana"/>
        </w:rPr>
        <w:t xml:space="preserve">Some council owned sites </w:t>
      </w:r>
      <w:proofErr w:type="gramStart"/>
      <w:r w:rsidRPr="00E952EC">
        <w:rPr>
          <w:rFonts w:ascii="Verdana" w:hAnsi="Verdana"/>
        </w:rPr>
        <w:t>have to</w:t>
      </w:r>
      <w:proofErr w:type="gramEnd"/>
      <w:r w:rsidRPr="00E952EC">
        <w:rPr>
          <w:rFonts w:ascii="Verdana" w:hAnsi="Verdana"/>
        </w:rPr>
        <w:t xml:space="preserve"> be acquired at value from the General Fund;</w:t>
      </w:r>
    </w:p>
    <w:p w14:paraId="44163F92" w14:textId="4DA2F731" w:rsidR="006D6C99" w:rsidRPr="00E952EC" w:rsidRDefault="006D6C99" w:rsidP="00E952EC">
      <w:pPr>
        <w:pStyle w:val="ListParagraph"/>
        <w:numPr>
          <w:ilvl w:val="0"/>
          <w:numId w:val="3"/>
        </w:numPr>
        <w:spacing w:after="0"/>
        <w:rPr>
          <w:rFonts w:ascii="Verdana" w:hAnsi="Verdana"/>
        </w:rPr>
      </w:pPr>
      <w:r w:rsidRPr="00E952EC">
        <w:rPr>
          <w:rFonts w:ascii="Verdana" w:hAnsi="Verdana"/>
        </w:rPr>
        <w:t xml:space="preserve">Much of the previously undeveloped land </w:t>
      </w:r>
      <w:r w:rsidR="00E225B6">
        <w:rPr>
          <w:rFonts w:ascii="Verdana" w:hAnsi="Verdana"/>
        </w:rPr>
        <w:t xml:space="preserve">still </w:t>
      </w:r>
      <w:r w:rsidRPr="00E952EC">
        <w:rPr>
          <w:rFonts w:ascii="Verdana" w:hAnsi="Verdana"/>
        </w:rPr>
        <w:t xml:space="preserve">held on the HRA was “left for a reason” and often comes with significant access, </w:t>
      </w:r>
      <w:proofErr w:type="gramStart"/>
      <w:r w:rsidRPr="00E952EC">
        <w:rPr>
          <w:rFonts w:ascii="Verdana" w:hAnsi="Verdana"/>
        </w:rPr>
        <w:t>drainage</w:t>
      </w:r>
      <w:proofErr w:type="gramEnd"/>
      <w:r w:rsidRPr="00E952EC">
        <w:rPr>
          <w:rFonts w:ascii="Verdana" w:hAnsi="Verdana"/>
        </w:rPr>
        <w:t xml:space="preserve"> or ground condition costs;</w:t>
      </w:r>
    </w:p>
    <w:p w14:paraId="0A725EEC" w14:textId="62FCE99E" w:rsidR="006D6C99" w:rsidRPr="00E952EC" w:rsidRDefault="006D6C99" w:rsidP="00C141B3">
      <w:pPr>
        <w:pStyle w:val="ListParagraph"/>
        <w:numPr>
          <w:ilvl w:val="0"/>
          <w:numId w:val="3"/>
        </w:numPr>
        <w:spacing w:after="0"/>
        <w:rPr>
          <w:rFonts w:ascii="Verdana" w:hAnsi="Verdana"/>
        </w:rPr>
      </w:pPr>
      <w:proofErr w:type="gramStart"/>
      <w:r w:rsidRPr="00E952EC">
        <w:rPr>
          <w:rFonts w:ascii="Verdana" w:hAnsi="Verdana"/>
        </w:rPr>
        <w:t>All of</w:t>
      </w:r>
      <w:proofErr w:type="gramEnd"/>
      <w:r w:rsidRPr="00E952EC">
        <w:rPr>
          <w:rFonts w:ascii="Verdana" w:hAnsi="Verdana"/>
        </w:rPr>
        <w:t xml:space="preserve"> the sites held on the HRA were previously acquired at value at the time of purchase and represent an asset </w:t>
      </w:r>
      <w:r w:rsidR="006044FD" w:rsidRPr="00E952EC">
        <w:rPr>
          <w:rFonts w:ascii="Verdana" w:hAnsi="Verdana"/>
        </w:rPr>
        <w:t xml:space="preserve">rather than a “free” </w:t>
      </w:r>
      <w:r w:rsidR="00E952EC" w:rsidRPr="00E952EC">
        <w:rPr>
          <w:rFonts w:ascii="Verdana" w:hAnsi="Verdana"/>
        </w:rPr>
        <w:t>resource</w:t>
      </w:r>
      <w:r w:rsidR="006044FD" w:rsidRPr="00E952EC">
        <w:rPr>
          <w:rFonts w:ascii="Verdana" w:hAnsi="Verdana"/>
        </w:rPr>
        <w:t>;</w:t>
      </w:r>
    </w:p>
    <w:p w14:paraId="018CB5F6" w14:textId="1B9B3FCC" w:rsidR="006044FD" w:rsidRDefault="006044FD" w:rsidP="00E952EC">
      <w:pPr>
        <w:pStyle w:val="ListParagraph"/>
        <w:numPr>
          <w:ilvl w:val="0"/>
          <w:numId w:val="3"/>
        </w:numPr>
        <w:spacing w:after="0"/>
        <w:rPr>
          <w:rFonts w:ascii="Verdana" w:hAnsi="Verdana"/>
        </w:rPr>
      </w:pPr>
      <w:r w:rsidRPr="00E952EC">
        <w:rPr>
          <w:rFonts w:ascii="Verdana" w:hAnsi="Verdana"/>
        </w:rPr>
        <w:t xml:space="preserve">Many of the sites held on the HRA have been </w:t>
      </w:r>
      <w:r w:rsidR="00E952EC" w:rsidRPr="00E952EC">
        <w:rPr>
          <w:rFonts w:ascii="Verdana" w:hAnsi="Verdana"/>
        </w:rPr>
        <w:t xml:space="preserve">created as the result of demolition of unfit or unpopular stock. Lost rent, rehousing, demolition, and decontamination to prepare these sites for development all come </w:t>
      </w:r>
      <w:r w:rsidR="00DC5E82">
        <w:rPr>
          <w:rFonts w:ascii="Verdana" w:hAnsi="Verdana"/>
        </w:rPr>
        <w:t xml:space="preserve">with </w:t>
      </w:r>
      <w:r w:rsidR="00E952EC" w:rsidRPr="00E952EC">
        <w:rPr>
          <w:rFonts w:ascii="Verdana" w:hAnsi="Verdana"/>
        </w:rPr>
        <w:t>significant costs</w:t>
      </w:r>
      <w:r w:rsidR="00860E42">
        <w:rPr>
          <w:rFonts w:ascii="Verdana" w:hAnsi="Verdana"/>
        </w:rPr>
        <w:t>;</w:t>
      </w:r>
    </w:p>
    <w:p w14:paraId="0ECAB7CE" w14:textId="631C8213" w:rsidR="00ED2B0D" w:rsidRDefault="00ED2B0D" w:rsidP="00E952EC">
      <w:pPr>
        <w:pStyle w:val="ListParagraph"/>
        <w:numPr>
          <w:ilvl w:val="0"/>
          <w:numId w:val="3"/>
        </w:numPr>
        <w:spacing w:after="0"/>
        <w:rPr>
          <w:rFonts w:ascii="Verdana" w:hAnsi="Verdana"/>
        </w:rPr>
      </w:pPr>
      <w:r>
        <w:rPr>
          <w:rFonts w:ascii="Verdana" w:hAnsi="Verdana"/>
        </w:rPr>
        <w:t xml:space="preserve">Council house building programmes are required to meet the cost of essential infrastructure required </w:t>
      </w:r>
      <w:proofErr w:type="gramStart"/>
      <w:r>
        <w:rPr>
          <w:rFonts w:ascii="Verdana" w:hAnsi="Verdana"/>
        </w:rPr>
        <w:t>as a consequence of</w:t>
      </w:r>
      <w:proofErr w:type="gramEnd"/>
      <w:r>
        <w:rPr>
          <w:rFonts w:ascii="Verdana" w:hAnsi="Verdana"/>
        </w:rPr>
        <w:t xml:space="preserve"> developments. </w:t>
      </w:r>
    </w:p>
    <w:p w14:paraId="5C3BD02D" w14:textId="331A9CB6" w:rsidR="00DC5E82" w:rsidRDefault="00DC5E82" w:rsidP="00DC5E82">
      <w:pPr>
        <w:spacing w:after="0"/>
        <w:rPr>
          <w:rFonts w:ascii="Verdana" w:hAnsi="Verdana"/>
        </w:rPr>
      </w:pPr>
    </w:p>
    <w:p w14:paraId="2C43346D" w14:textId="143BFBE0" w:rsidR="008108B1" w:rsidRDefault="00DC5E82" w:rsidP="001C70AC">
      <w:pPr>
        <w:pStyle w:val="ListParagraph"/>
        <w:numPr>
          <w:ilvl w:val="0"/>
          <w:numId w:val="6"/>
        </w:numPr>
        <w:spacing w:after="0"/>
        <w:rPr>
          <w:rFonts w:ascii="Verdana" w:hAnsi="Verdana"/>
        </w:rPr>
      </w:pPr>
      <w:r w:rsidRPr="001C70AC">
        <w:rPr>
          <w:rFonts w:ascii="Verdana" w:hAnsi="Verdana"/>
        </w:rPr>
        <w:t xml:space="preserve">In the light of this it is difficult to conclude that council landbanks are likely to make a significant contribution to reduced costs in future </w:t>
      </w:r>
      <w:r w:rsidR="007C392A" w:rsidRPr="001C70AC">
        <w:rPr>
          <w:rFonts w:ascii="Verdana" w:hAnsi="Verdana"/>
        </w:rPr>
        <w:t>whatever</w:t>
      </w:r>
      <w:r w:rsidRPr="001C70AC">
        <w:rPr>
          <w:rFonts w:ascii="Verdana" w:hAnsi="Verdana"/>
        </w:rPr>
        <w:t xml:space="preserve"> role they may have played in the past.</w:t>
      </w:r>
    </w:p>
    <w:p w14:paraId="5C3A7067" w14:textId="77777777" w:rsidR="009F3A7F" w:rsidRPr="00944003" w:rsidRDefault="009F3A7F" w:rsidP="00944003">
      <w:pPr>
        <w:spacing w:after="0"/>
        <w:ind w:left="360"/>
        <w:rPr>
          <w:rFonts w:ascii="Verdana" w:hAnsi="Verdana"/>
        </w:rPr>
      </w:pPr>
    </w:p>
    <w:p w14:paraId="1EFAB4E1" w14:textId="2DEB3014" w:rsidR="00DC5E82" w:rsidRPr="001C70AC" w:rsidRDefault="00C81F53" w:rsidP="001C70AC">
      <w:pPr>
        <w:pStyle w:val="ListParagraph"/>
        <w:numPr>
          <w:ilvl w:val="0"/>
          <w:numId w:val="6"/>
        </w:numPr>
        <w:spacing w:after="0"/>
        <w:rPr>
          <w:rFonts w:ascii="Verdana" w:hAnsi="Verdana"/>
        </w:rPr>
      </w:pPr>
      <w:r w:rsidRPr="001C70AC">
        <w:rPr>
          <w:rFonts w:ascii="Verdana" w:hAnsi="Verdana"/>
        </w:rPr>
        <w:t xml:space="preserve"> One option for resolving this issue has, however, already been suggested, that is </w:t>
      </w:r>
      <w:r w:rsidR="000105EC" w:rsidRPr="001C70AC">
        <w:rPr>
          <w:rFonts w:ascii="Verdana" w:hAnsi="Verdana"/>
        </w:rPr>
        <w:t>separating</w:t>
      </w:r>
      <w:r w:rsidRPr="001C70AC">
        <w:rPr>
          <w:rFonts w:ascii="Verdana" w:hAnsi="Verdana"/>
        </w:rPr>
        <w:t xml:space="preserve"> out the funding of land</w:t>
      </w:r>
      <w:r w:rsidR="000105EC" w:rsidRPr="001C70AC">
        <w:rPr>
          <w:rFonts w:ascii="Verdana" w:hAnsi="Verdana"/>
        </w:rPr>
        <w:t xml:space="preserve"> and infrastructure from house construction for the purpose of grant calculation.</w:t>
      </w:r>
    </w:p>
    <w:p w14:paraId="49A6E8C2" w14:textId="77777777" w:rsidR="00C948B0" w:rsidRDefault="00C948B0" w:rsidP="00DC5E82">
      <w:pPr>
        <w:spacing w:after="0"/>
        <w:rPr>
          <w:rFonts w:ascii="Verdana" w:hAnsi="Verdana"/>
          <w:b/>
          <w:bCs/>
        </w:rPr>
      </w:pPr>
    </w:p>
    <w:p w14:paraId="57485DC1" w14:textId="77777777" w:rsidR="00C948B0" w:rsidRDefault="00C948B0" w:rsidP="00DC5E82">
      <w:pPr>
        <w:spacing w:after="0"/>
        <w:rPr>
          <w:rFonts w:ascii="Verdana" w:hAnsi="Verdana"/>
          <w:b/>
          <w:bCs/>
        </w:rPr>
      </w:pPr>
    </w:p>
    <w:p w14:paraId="034141E3" w14:textId="77777777" w:rsidR="00C948B0" w:rsidRDefault="00C948B0" w:rsidP="00DC5E82">
      <w:pPr>
        <w:spacing w:after="0"/>
        <w:rPr>
          <w:rFonts w:ascii="Verdana" w:hAnsi="Verdana"/>
          <w:b/>
          <w:bCs/>
        </w:rPr>
      </w:pPr>
    </w:p>
    <w:p w14:paraId="2430775E" w14:textId="77777777" w:rsidR="00C948B0" w:rsidRDefault="00C948B0" w:rsidP="00DC5E82">
      <w:pPr>
        <w:spacing w:after="0"/>
        <w:rPr>
          <w:rFonts w:ascii="Verdana" w:hAnsi="Verdana"/>
          <w:b/>
          <w:bCs/>
        </w:rPr>
      </w:pPr>
    </w:p>
    <w:p w14:paraId="213BE27E" w14:textId="7989528A" w:rsidR="00DC5E82" w:rsidRPr="005F6FF8" w:rsidRDefault="005F6FF8" w:rsidP="00DC5E82">
      <w:pPr>
        <w:spacing w:after="0"/>
        <w:rPr>
          <w:rFonts w:ascii="Verdana" w:hAnsi="Verdana"/>
          <w:b/>
          <w:bCs/>
        </w:rPr>
      </w:pPr>
      <w:r w:rsidRPr="005F6FF8">
        <w:rPr>
          <w:rFonts w:ascii="Verdana" w:hAnsi="Verdana"/>
          <w:b/>
          <w:bCs/>
        </w:rPr>
        <w:t>Conclusions</w:t>
      </w:r>
    </w:p>
    <w:p w14:paraId="6E0A9F30" w14:textId="574FD760" w:rsidR="00F4571C" w:rsidRDefault="00F4571C" w:rsidP="00074CDB">
      <w:pPr>
        <w:spacing w:after="0"/>
        <w:rPr>
          <w:rFonts w:ascii="Verdana" w:hAnsi="Verdana"/>
        </w:rPr>
      </w:pPr>
    </w:p>
    <w:p w14:paraId="2D066D4B" w14:textId="45B75BC7" w:rsidR="0039496E" w:rsidRPr="001C70AC" w:rsidRDefault="0039496E" w:rsidP="001C70AC">
      <w:pPr>
        <w:pStyle w:val="ListParagraph"/>
        <w:numPr>
          <w:ilvl w:val="0"/>
          <w:numId w:val="6"/>
        </w:numPr>
        <w:spacing w:after="0"/>
        <w:rPr>
          <w:rFonts w:ascii="Verdana" w:hAnsi="Verdana"/>
        </w:rPr>
      </w:pPr>
      <w:r w:rsidRPr="001C70AC">
        <w:rPr>
          <w:rFonts w:ascii="Verdana" w:hAnsi="Verdana"/>
        </w:rPr>
        <w:t>The purpose of this paper is to unpick the suggestion that lower land cost and cheaper borrowing available to councils are a sound justification for lower grant rates compared to RSLs.</w:t>
      </w:r>
      <w:r w:rsidR="008D054E">
        <w:rPr>
          <w:rFonts w:ascii="Verdana" w:hAnsi="Verdana"/>
        </w:rPr>
        <w:t xml:space="preserve">  It has also looked at other differences in the published information on the financing of Council and RSL development programmes.</w:t>
      </w:r>
    </w:p>
    <w:p w14:paraId="366B67A7" w14:textId="517435C7" w:rsidR="00552A46" w:rsidRDefault="00552A46" w:rsidP="00074CDB">
      <w:pPr>
        <w:spacing w:after="0"/>
        <w:rPr>
          <w:rFonts w:ascii="Verdana" w:hAnsi="Verdana"/>
        </w:rPr>
      </w:pPr>
    </w:p>
    <w:p w14:paraId="723FF166" w14:textId="221621E1" w:rsidR="00552A46" w:rsidRPr="00944003" w:rsidRDefault="00552A46" w:rsidP="00944003">
      <w:pPr>
        <w:pStyle w:val="ListParagraph"/>
        <w:numPr>
          <w:ilvl w:val="0"/>
          <w:numId w:val="6"/>
        </w:numPr>
        <w:spacing w:after="0"/>
        <w:rPr>
          <w:rFonts w:ascii="Verdana" w:hAnsi="Verdana"/>
        </w:rPr>
      </w:pPr>
      <w:r w:rsidRPr="00944003">
        <w:rPr>
          <w:rFonts w:ascii="Verdana" w:hAnsi="Verdana"/>
        </w:rPr>
        <w:t>Part of the problem in drawing conclusions f</w:t>
      </w:r>
      <w:r w:rsidR="00C70C4F" w:rsidRPr="00944003">
        <w:rPr>
          <w:rFonts w:ascii="Verdana" w:hAnsi="Verdana"/>
        </w:rPr>
        <w:t>ro</w:t>
      </w:r>
      <w:r w:rsidRPr="00944003">
        <w:rPr>
          <w:rFonts w:ascii="Verdana" w:hAnsi="Verdana"/>
        </w:rPr>
        <w:t xml:space="preserve">m the evidence is that RSLs and Councils operate in quite different financial and regulatory environments.  The funding of the new supply programme </w:t>
      </w:r>
      <w:proofErr w:type="gramStart"/>
      <w:r w:rsidRPr="00944003">
        <w:rPr>
          <w:rFonts w:ascii="Verdana" w:hAnsi="Verdana"/>
        </w:rPr>
        <w:t>has to</w:t>
      </w:r>
      <w:proofErr w:type="gramEnd"/>
      <w:r w:rsidRPr="00944003">
        <w:rPr>
          <w:rFonts w:ascii="Verdana" w:hAnsi="Verdana"/>
        </w:rPr>
        <w:t xml:space="preserve"> be seen in that light and, most importantly in the light of the overall impact on rents.</w:t>
      </w:r>
      <w:r w:rsidR="0019031C" w:rsidRPr="00944003">
        <w:rPr>
          <w:rFonts w:ascii="Verdana" w:hAnsi="Verdana"/>
        </w:rPr>
        <w:t xml:space="preserve">  but the following conclusions can be drawn:</w:t>
      </w:r>
    </w:p>
    <w:p w14:paraId="79EB81BF" w14:textId="5ADD7DA3" w:rsidR="00552A46" w:rsidRDefault="00552A46" w:rsidP="00074CDB">
      <w:pPr>
        <w:spacing w:after="0"/>
        <w:rPr>
          <w:rFonts w:ascii="Verdana" w:hAnsi="Verdana"/>
        </w:rPr>
      </w:pPr>
    </w:p>
    <w:p w14:paraId="47D42FF1" w14:textId="0402E086" w:rsidR="00552A46" w:rsidRDefault="00552A46" w:rsidP="000E79B5">
      <w:pPr>
        <w:pStyle w:val="ListParagraph"/>
        <w:numPr>
          <w:ilvl w:val="0"/>
          <w:numId w:val="4"/>
        </w:numPr>
        <w:spacing w:after="0"/>
        <w:rPr>
          <w:rFonts w:ascii="Verdana" w:hAnsi="Verdana"/>
        </w:rPr>
      </w:pPr>
      <w:r w:rsidRPr="00FA35F8">
        <w:rPr>
          <w:rFonts w:ascii="Verdana" w:hAnsi="Verdana"/>
        </w:rPr>
        <w:t xml:space="preserve">On the question of borrowing </w:t>
      </w:r>
      <w:proofErr w:type="gramStart"/>
      <w:r w:rsidRPr="00FA35F8">
        <w:rPr>
          <w:rFonts w:ascii="Verdana" w:hAnsi="Verdana"/>
        </w:rPr>
        <w:t>costs</w:t>
      </w:r>
      <w:proofErr w:type="gramEnd"/>
      <w:r w:rsidRPr="00FA35F8">
        <w:rPr>
          <w:rFonts w:ascii="Verdana" w:hAnsi="Verdana"/>
        </w:rPr>
        <w:t xml:space="preserve"> it is not demonstrably the case that they are lower for councils than they are RSLs</w:t>
      </w:r>
      <w:r w:rsidR="00FA35F8">
        <w:rPr>
          <w:rFonts w:ascii="Verdana" w:hAnsi="Verdana"/>
        </w:rPr>
        <w:t>.</w:t>
      </w:r>
    </w:p>
    <w:p w14:paraId="79F63AA2" w14:textId="77777777" w:rsidR="00364D59" w:rsidRDefault="00552A46" w:rsidP="0019031C">
      <w:pPr>
        <w:pStyle w:val="ListParagraph"/>
        <w:numPr>
          <w:ilvl w:val="0"/>
          <w:numId w:val="4"/>
        </w:numPr>
        <w:spacing w:after="0"/>
        <w:rPr>
          <w:rFonts w:ascii="Verdana" w:hAnsi="Verdana"/>
        </w:rPr>
      </w:pPr>
      <w:r w:rsidRPr="0019031C">
        <w:rPr>
          <w:rFonts w:ascii="Verdana" w:hAnsi="Verdana"/>
        </w:rPr>
        <w:t>On land costs</w:t>
      </w:r>
      <w:r w:rsidR="00364D59">
        <w:rPr>
          <w:rFonts w:ascii="Verdana" w:hAnsi="Verdana"/>
        </w:rPr>
        <w:t>:</w:t>
      </w:r>
    </w:p>
    <w:p w14:paraId="2D024F75" w14:textId="17CBF8A3" w:rsidR="004324A0" w:rsidRDefault="00364D59" w:rsidP="00364D59">
      <w:pPr>
        <w:pStyle w:val="ListParagraph"/>
        <w:numPr>
          <w:ilvl w:val="1"/>
          <w:numId w:val="4"/>
        </w:numPr>
        <w:spacing w:after="0"/>
        <w:rPr>
          <w:rFonts w:ascii="Verdana" w:hAnsi="Verdana"/>
        </w:rPr>
      </w:pPr>
      <w:r>
        <w:rPr>
          <w:rFonts w:ascii="Verdana" w:hAnsi="Verdana"/>
        </w:rPr>
        <w:t xml:space="preserve">Much of the </w:t>
      </w:r>
      <w:r w:rsidR="00FD0E70">
        <w:rPr>
          <w:rFonts w:ascii="Verdana" w:hAnsi="Verdana"/>
        </w:rPr>
        <w:t>best</w:t>
      </w:r>
      <w:r>
        <w:rPr>
          <w:rFonts w:ascii="Verdana" w:hAnsi="Verdana"/>
        </w:rPr>
        <w:t xml:space="preserve"> develop</w:t>
      </w:r>
      <w:r w:rsidR="00FD0E70">
        <w:rPr>
          <w:rFonts w:ascii="Verdana" w:hAnsi="Verdana"/>
        </w:rPr>
        <w:t>ment</w:t>
      </w:r>
      <w:r>
        <w:rPr>
          <w:rFonts w:ascii="Verdana" w:hAnsi="Verdana"/>
        </w:rPr>
        <w:t xml:space="preserve"> land previousl</w:t>
      </w:r>
      <w:r w:rsidR="00A251A8">
        <w:rPr>
          <w:rFonts w:ascii="Verdana" w:hAnsi="Verdana"/>
        </w:rPr>
        <w:t>y</w:t>
      </w:r>
      <w:r>
        <w:rPr>
          <w:rFonts w:ascii="Verdana" w:hAnsi="Verdana"/>
        </w:rPr>
        <w:t xml:space="preserve"> held on HRAs was used by RSLs in periods between </w:t>
      </w:r>
      <w:r w:rsidR="004324A0">
        <w:rPr>
          <w:rFonts w:ascii="Verdana" w:hAnsi="Verdana"/>
        </w:rPr>
        <w:t>1980 and 2010</w:t>
      </w:r>
      <w:r w:rsidR="00735CC0">
        <w:rPr>
          <w:rFonts w:ascii="Verdana" w:hAnsi="Verdana"/>
        </w:rPr>
        <w:t xml:space="preserve"> usually at nil or below market value</w:t>
      </w:r>
      <w:r w:rsidR="004324A0">
        <w:rPr>
          <w:rFonts w:ascii="Verdana" w:hAnsi="Verdana"/>
        </w:rPr>
        <w:t>;</w:t>
      </w:r>
    </w:p>
    <w:p w14:paraId="20C9CD63" w14:textId="49D985B7" w:rsidR="004324A0" w:rsidRDefault="004324A0" w:rsidP="00364D59">
      <w:pPr>
        <w:pStyle w:val="ListParagraph"/>
        <w:numPr>
          <w:ilvl w:val="1"/>
          <w:numId w:val="4"/>
        </w:numPr>
        <w:spacing w:after="0"/>
        <w:rPr>
          <w:rFonts w:ascii="Verdana" w:hAnsi="Verdana"/>
        </w:rPr>
      </w:pPr>
      <w:r>
        <w:rPr>
          <w:rFonts w:ascii="Verdana" w:hAnsi="Verdana"/>
        </w:rPr>
        <w:t xml:space="preserve">Some of the </w:t>
      </w:r>
      <w:r w:rsidR="00735CC0">
        <w:rPr>
          <w:rFonts w:ascii="Verdana" w:hAnsi="Verdana"/>
        </w:rPr>
        <w:t>Council</w:t>
      </w:r>
      <w:r>
        <w:rPr>
          <w:rFonts w:ascii="Verdana" w:hAnsi="Verdana"/>
        </w:rPr>
        <w:t xml:space="preserve"> owned land that has been made available over the past five years has been acquired at full value from the </w:t>
      </w:r>
      <w:r w:rsidR="00735CC0">
        <w:rPr>
          <w:rFonts w:ascii="Verdana" w:hAnsi="Verdana"/>
        </w:rPr>
        <w:t>General</w:t>
      </w:r>
      <w:r>
        <w:rPr>
          <w:rFonts w:ascii="Verdana" w:hAnsi="Verdana"/>
        </w:rPr>
        <w:t xml:space="preserve"> Fund;</w:t>
      </w:r>
    </w:p>
    <w:p w14:paraId="21D7C4E8" w14:textId="38EB8ACF" w:rsidR="00BC5505" w:rsidRDefault="004324A0" w:rsidP="00364D59">
      <w:pPr>
        <w:pStyle w:val="ListParagraph"/>
        <w:numPr>
          <w:ilvl w:val="1"/>
          <w:numId w:val="4"/>
        </w:numPr>
        <w:spacing w:after="0"/>
        <w:rPr>
          <w:rFonts w:ascii="Verdana" w:hAnsi="Verdana"/>
        </w:rPr>
      </w:pPr>
      <w:r>
        <w:rPr>
          <w:rFonts w:ascii="Verdana" w:hAnsi="Verdana"/>
        </w:rPr>
        <w:t xml:space="preserve">Many, perhaps most development sites currently held on the HRA have been </w:t>
      </w:r>
      <w:r w:rsidR="00A47F99">
        <w:rPr>
          <w:rFonts w:ascii="Verdana" w:hAnsi="Verdana"/>
        </w:rPr>
        <w:t xml:space="preserve">created </w:t>
      </w:r>
      <w:r>
        <w:rPr>
          <w:rFonts w:ascii="Verdana" w:hAnsi="Verdana"/>
        </w:rPr>
        <w:t xml:space="preserve">through the demolition of existing stock </w:t>
      </w:r>
      <w:r w:rsidR="00BC5505">
        <w:rPr>
          <w:rFonts w:ascii="Verdana" w:hAnsi="Verdana"/>
        </w:rPr>
        <w:t>at significant cost to tenants; and</w:t>
      </w:r>
    </w:p>
    <w:p w14:paraId="3D07685B" w14:textId="7A391A6B" w:rsidR="00A90ED4" w:rsidRPr="0019031C" w:rsidRDefault="00BC5505" w:rsidP="00364D59">
      <w:pPr>
        <w:pStyle w:val="ListParagraph"/>
        <w:numPr>
          <w:ilvl w:val="1"/>
          <w:numId w:val="4"/>
        </w:numPr>
        <w:spacing w:after="0"/>
        <w:rPr>
          <w:rFonts w:ascii="Verdana" w:hAnsi="Verdana"/>
        </w:rPr>
      </w:pPr>
      <w:r>
        <w:rPr>
          <w:rFonts w:ascii="Verdana" w:hAnsi="Verdana"/>
        </w:rPr>
        <w:t>These sites</w:t>
      </w:r>
      <w:r w:rsidR="00673B1B">
        <w:rPr>
          <w:rFonts w:ascii="Verdana" w:hAnsi="Verdana"/>
        </w:rPr>
        <w:t xml:space="preserve"> </w:t>
      </w:r>
      <w:r w:rsidR="00646621">
        <w:rPr>
          <w:rFonts w:ascii="Verdana" w:hAnsi="Verdana"/>
        </w:rPr>
        <w:t xml:space="preserve">often </w:t>
      </w:r>
      <w:r w:rsidR="00673B1B">
        <w:rPr>
          <w:rFonts w:ascii="Verdana" w:hAnsi="Verdana"/>
        </w:rPr>
        <w:t xml:space="preserve">come with </w:t>
      </w:r>
      <w:r w:rsidR="006E0CEB">
        <w:rPr>
          <w:rFonts w:ascii="Verdana" w:hAnsi="Verdana"/>
        </w:rPr>
        <w:t>significant</w:t>
      </w:r>
      <w:r w:rsidR="00A90ED4" w:rsidRPr="0019031C">
        <w:rPr>
          <w:rFonts w:ascii="Verdana" w:hAnsi="Verdana"/>
        </w:rPr>
        <w:t xml:space="preserve"> abnormal costs </w:t>
      </w:r>
      <w:r w:rsidR="00ED2B0D">
        <w:rPr>
          <w:rFonts w:ascii="Verdana" w:hAnsi="Verdana"/>
        </w:rPr>
        <w:t>and requirements to fund essential infrastructure, for example school capacity and transport schemes</w:t>
      </w:r>
      <w:r w:rsidR="006E0CEB">
        <w:rPr>
          <w:rFonts w:ascii="Verdana" w:hAnsi="Verdana"/>
        </w:rPr>
        <w:t>.</w:t>
      </w:r>
    </w:p>
    <w:p w14:paraId="4106D092" w14:textId="58F91B74" w:rsidR="00D1640B" w:rsidRPr="006F02EE" w:rsidRDefault="0019031C" w:rsidP="006F02EE">
      <w:pPr>
        <w:pStyle w:val="ListParagraph"/>
        <w:numPr>
          <w:ilvl w:val="0"/>
          <w:numId w:val="5"/>
        </w:numPr>
        <w:spacing w:after="0"/>
        <w:rPr>
          <w:rFonts w:ascii="Verdana" w:hAnsi="Verdana"/>
        </w:rPr>
      </w:pPr>
      <w:r w:rsidRPr="006F02EE">
        <w:rPr>
          <w:rFonts w:ascii="Verdana" w:hAnsi="Verdana"/>
        </w:rPr>
        <w:t xml:space="preserve">There is also </w:t>
      </w:r>
      <w:r w:rsidR="0081294A" w:rsidRPr="006F02EE">
        <w:rPr>
          <w:rFonts w:ascii="Verdana" w:hAnsi="Verdana"/>
        </w:rPr>
        <w:t xml:space="preserve">some </w:t>
      </w:r>
      <w:r w:rsidRPr="006F02EE">
        <w:rPr>
          <w:rFonts w:ascii="Verdana" w:hAnsi="Verdana"/>
        </w:rPr>
        <w:t xml:space="preserve">evidence that </w:t>
      </w:r>
      <w:r w:rsidR="00EC1F42" w:rsidRPr="006F02EE">
        <w:rPr>
          <w:rFonts w:ascii="Verdana" w:hAnsi="Verdana"/>
        </w:rPr>
        <w:t xml:space="preserve">both </w:t>
      </w:r>
      <w:r w:rsidRPr="006F02EE">
        <w:rPr>
          <w:rFonts w:ascii="Verdana" w:hAnsi="Verdana"/>
        </w:rPr>
        <w:t>Councils</w:t>
      </w:r>
      <w:r w:rsidR="00EC1F42" w:rsidRPr="006F02EE">
        <w:rPr>
          <w:rFonts w:ascii="Verdana" w:hAnsi="Verdana"/>
        </w:rPr>
        <w:t xml:space="preserve"> and RS</w:t>
      </w:r>
      <w:r w:rsidR="00C141B3">
        <w:rPr>
          <w:rFonts w:ascii="Verdana" w:hAnsi="Verdana"/>
        </w:rPr>
        <w:t>Ls</w:t>
      </w:r>
      <w:r w:rsidRPr="006F02EE">
        <w:rPr>
          <w:rFonts w:ascii="Verdana" w:hAnsi="Verdana"/>
        </w:rPr>
        <w:t xml:space="preserve"> are accessing other “private finance” resources including commuted sums and second homes council tax income to support new supply </w:t>
      </w:r>
      <w:r w:rsidR="00646621" w:rsidRPr="006F02EE">
        <w:rPr>
          <w:rFonts w:ascii="Verdana" w:hAnsi="Verdana"/>
        </w:rPr>
        <w:t xml:space="preserve">but there is no </w:t>
      </w:r>
      <w:r w:rsidR="007654F3">
        <w:rPr>
          <w:rFonts w:ascii="Verdana" w:hAnsi="Verdana"/>
        </w:rPr>
        <w:t xml:space="preserve">convincing </w:t>
      </w:r>
      <w:r w:rsidR="00646621" w:rsidRPr="006F02EE">
        <w:rPr>
          <w:rFonts w:ascii="Verdana" w:hAnsi="Verdana"/>
        </w:rPr>
        <w:t>evidence that these other sources of income are higher for councils than RSLs</w:t>
      </w:r>
      <w:r w:rsidR="00400A3C" w:rsidRPr="006F02EE">
        <w:rPr>
          <w:rFonts w:ascii="Verdana" w:hAnsi="Verdana"/>
        </w:rPr>
        <w:t>.</w:t>
      </w:r>
    </w:p>
    <w:p w14:paraId="1BB50681" w14:textId="77777777" w:rsidR="00C346BD" w:rsidRDefault="00C346BD" w:rsidP="006F02EE">
      <w:pPr>
        <w:spacing w:after="0"/>
        <w:rPr>
          <w:rFonts w:ascii="Verdana" w:hAnsi="Verdana"/>
        </w:rPr>
      </w:pPr>
    </w:p>
    <w:p w14:paraId="42A03475" w14:textId="72A1BC74" w:rsidR="009C6DD2" w:rsidRDefault="00436A98" w:rsidP="001C70AC">
      <w:pPr>
        <w:pStyle w:val="ListParagraph"/>
        <w:numPr>
          <w:ilvl w:val="0"/>
          <w:numId w:val="6"/>
        </w:numPr>
        <w:spacing w:after="0"/>
        <w:rPr>
          <w:rFonts w:ascii="Verdana" w:hAnsi="Verdana"/>
        </w:rPr>
      </w:pPr>
      <w:r w:rsidRPr="001C70AC">
        <w:rPr>
          <w:rFonts w:ascii="Verdana" w:hAnsi="Verdana"/>
        </w:rPr>
        <w:t xml:space="preserve">In the light of this it is the </w:t>
      </w:r>
      <w:r w:rsidR="009E5BDD" w:rsidRPr="001C70AC">
        <w:rPr>
          <w:rFonts w:ascii="Verdana" w:hAnsi="Verdana"/>
        </w:rPr>
        <w:t xml:space="preserve">view of ALACHO members that </w:t>
      </w:r>
      <w:r w:rsidR="00582B85" w:rsidRPr="001C70AC">
        <w:rPr>
          <w:rFonts w:ascii="Verdana" w:hAnsi="Verdana"/>
        </w:rPr>
        <w:t xml:space="preserve">the current </w:t>
      </w:r>
      <w:r w:rsidR="001F5280" w:rsidRPr="001C70AC">
        <w:rPr>
          <w:rFonts w:ascii="Verdana" w:hAnsi="Verdana"/>
        </w:rPr>
        <w:t xml:space="preserve">lower grant rates for </w:t>
      </w:r>
      <w:r w:rsidR="00582B85" w:rsidRPr="001C70AC">
        <w:rPr>
          <w:rFonts w:ascii="Verdana" w:hAnsi="Verdana"/>
        </w:rPr>
        <w:t>the provision of new Council housing as compared with</w:t>
      </w:r>
      <w:r w:rsidR="00FF1A36">
        <w:rPr>
          <w:rFonts w:ascii="Verdana" w:hAnsi="Verdana"/>
        </w:rPr>
        <w:t>,</w:t>
      </w:r>
      <w:r w:rsidR="00582B85" w:rsidRPr="001C70AC">
        <w:rPr>
          <w:rFonts w:ascii="Verdana" w:hAnsi="Verdana"/>
        </w:rPr>
        <w:t xml:space="preserve"> not just RSL social rent but RSL LCHO/NSSE</w:t>
      </w:r>
      <w:r w:rsidRPr="001C70AC">
        <w:rPr>
          <w:rFonts w:ascii="Verdana" w:hAnsi="Verdana"/>
        </w:rPr>
        <w:t xml:space="preserve"> </w:t>
      </w:r>
      <w:r w:rsidR="001F5280" w:rsidRPr="001C70AC">
        <w:rPr>
          <w:rFonts w:ascii="Verdana" w:hAnsi="Verdana"/>
        </w:rPr>
        <w:t>as well</w:t>
      </w:r>
      <w:r w:rsidR="00FF1A36">
        <w:rPr>
          <w:rFonts w:ascii="Verdana" w:hAnsi="Verdana"/>
        </w:rPr>
        <w:t>,</w:t>
      </w:r>
      <w:r w:rsidR="001F5280" w:rsidRPr="001C70AC">
        <w:rPr>
          <w:rFonts w:ascii="Verdana" w:hAnsi="Verdana"/>
        </w:rPr>
        <w:t xml:space="preserve"> is </w:t>
      </w:r>
      <w:r w:rsidR="00273001" w:rsidRPr="001C70AC">
        <w:rPr>
          <w:rFonts w:ascii="Verdana" w:hAnsi="Verdana"/>
        </w:rPr>
        <w:t>un</w:t>
      </w:r>
      <w:r w:rsidR="009025E8" w:rsidRPr="001C70AC">
        <w:rPr>
          <w:rFonts w:ascii="Verdana" w:hAnsi="Verdana"/>
        </w:rPr>
        <w:t>justifiable</w:t>
      </w:r>
      <w:r w:rsidR="00273001" w:rsidRPr="001C70AC">
        <w:rPr>
          <w:rFonts w:ascii="Verdana" w:hAnsi="Verdana"/>
        </w:rPr>
        <w:t>.</w:t>
      </w:r>
    </w:p>
    <w:p w14:paraId="41C79CF6" w14:textId="77777777" w:rsidR="009C6DD2" w:rsidRPr="009C6DD2" w:rsidRDefault="009C6DD2" w:rsidP="009C6DD2">
      <w:pPr>
        <w:spacing w:after="0"/>
        <w:ind w:left="360"/>
        <w:rPr>
          <w:rFonts w:ascii="Verdana" w:hAnsi="Verdana"/>
        </w:rPr>
      </w:pPr>
    </w:p>
    <w:p w14:paraId="5A951944" w14:textId="5AD68463" w:rsidR="00273001" w:rsidRPr="001C70AC" w:rsidRDefault="00273001" w:rsidP="001C70AC">
      <w:pPr>
        <w:pStyle w:val="ListParagraph"/>
        <w:numPr>
          <w:ilvl w:val="0"/>
          <w:numId w:val="6"/>
        </w:numPr>
        <w:spacing w:after="0"/>
        <w:rPr>
          <w:rFonts w:ascii="Verdana" w:hAnsi="Verdana"/>
        </w:rPr>
      </w:pPr>
      <w:r w:rsidRPr="001C70AC">
        <w:rPr>
          <w:rFonts w:ascii="Verdana" w:hAnsi="Verdana"/>
        </w:rPr>
        <w:t xml:space="preserve">To the extent that the decisions taken in 2010, 2013 and 2015 were based on the notion that borrowing costs were lower and a significant supply of cheap or free land </w:t>
      </w:r>
      <w:r w:rsidR="0024201F" w:rsidRPr="001C70AC">
        <w:rPr>
          <w:rFonts w:ascii="Verdana" w:hAnsi="Verdana"/>
        </w:rPr>
        <w:t xml:space="preserve">was </w:t>
      </w:r>
      <w:r w:rsidRPr="001C70AC">
        <w:rPr>
          <w:rFonts w:ascii="Verdana" w:hAnsi="Verdana"/>
        </w:rPr>
        <w:t>available for councils there is no current evidence to support this view.</w:t>
      </w:r>
    </w:p>
    <w:p w14:paraId="78B2F7A9" w14:textId="04D415A5" w:rsidR="0024201F" w:rsidRDefault="0024201F" w:rsidP="00074CDB">
      <w:pPr>
        <w:spacing w:after="0"/>
        <w:rPr>
          <w:rFonts w:ascii="Verdana" w:hAnsi="Verdana"/>
        </w:rPr>
      </w:pPr>
    </w:p>
    <w:p w14:paraId="574F092C" w14:textId="678009B8" w:rsidR="0024201F" w:rsidRPr="001C70AC" w:rsidRDefault="0024201F" w:rsidP="001C70AC">
      <w:pPr>
        <w:pStyle w:val="ListParagraph"/>
        <w:numPr>
          <w:ilvl w:val="0"/>
          <w:numId w:val="6"/>
        </w:numPr>
        <w:spacing w:after="0"/>
        <w:rPr>
          <w:rFonts w:ascii="Verdana" w:hAnsi="Verdana"/>
        </w:rPr>
      </w:pPr>
      <w:r w:rsidRPr="001C70AC">
        <w:rPr>
          <w:rFonts w:ascii="Verdana" w:hAnsi="Verdana"/>
        </w:rPr>
        <w:t>If any doubt remains in relation to land costs a more appropriate and proportionate way to address th</w:t>
      </w:r>
      <w:r w:rsidR="003529F7" w:rsidRPr="001C70AC">
        <w:rPr>
          <w:rFonts w:ascii="Verdana" w:hAnsi="Verdana"/>
        </w:rPr>
        <w:t>is</w:t>
      </w:r>
      <w:r w:rsidRPr="001C70AC">
        <w:rPr>
          <w:rFonts w:ascii="Verdana" w:hAnsi="Verdana"/>
        </w:rPr>
        <w:t xml:space="preserve"> would be to separate out land and infrastructure cost within the grant calculation.</w:t>
      </w:r>
    </w:p>
    <w:p w14:paraId="0DB7ACE4" w14:textId="77777777" w:rsidR="007E498B" w:rsidRDefault="007E498B" w:rsidP="00D3636F">
      <w:pPr>
        <w:spacing w:after="0"/>
        <w:rPr>
          <w:rFonts w:ascii="Verdana" w:hAnsi="Verdana"/>
          <w:b/>
          <w:bCs/>
        </w:rPr>
      </w:pPr>
    </w:p>
    <w:sectPr w:rsidR="007E49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FDD1" w14:textId="77777777" w:rsidR="00AE2831" w:rsidRDefault="00AE2831" w:rsidP="00286005">
      <w:pPr>
        <w:spacing w:after="0" w:line="240" w:lineRule="auto"/>
      </w:pPr>
      <w:r>
        <w:separator/>
      </w:r>
    </w:p>
  </w:endnote>
  <w:endnote w:type="continuationSeparator" w:id="0">
    <w:p w14:paraId="4AADD975" w14:textId="77777777" w:rsidR="00AE2831" w:rsidRDefault="00AE2831" w:rsidP="002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1533" w14:textId="77777777" w:rsidR="00AE2831" w:rsidRDefault="00AE2831" w:rsidP="00286005">
      <w:pPr>
        <w:spacing w:after="0" w:line="240" w:lineRule="auto"/>
      </w:pPr>
      <w:r>
        <w:separator/>
      </w:r>
    </w:p>
  </w:footnote>
  <w:footnote w:type="continuationSeparator" w:id="0">
    <w:p w14:paraId="5A665A69" w14:textId="77777777" w:rsidR="00AE2831" w:rsidRDefault="00AE2831" w:rsidP="00286005">
      <w:pPr>
        <w:spacing w:after="0" w:line="240" w:lineRule="auto"/>
      </w:pPr>
      <w:r>
        <w:continuationSeparator/>
      </w:r>
    </w:p>
  </w:footnote>
  <w:footnote w:id="1">
    <w:p w14:paraId="37A811A2" w14:textId="4D7D2E3F" w:rsidR="00830C1E" w:rsidRDefault="00830C1E">
      <w:pPr>
        <w:pStyle w:val="FootnoteText"/>
      </w:pPr>
      <w:r>
        <w:rPr>
          <w:rStyle w:val="FootnoteReference"/>
        </w:rPr>
        <w:footnoteRef/>
      </w:r>
      <w:r>
        <w:t xml:space="preserve"> </w:t>
      </w:r>
      <w:hyperlink r:id="rId1" w:history="1">
        <w:r w:rsidRPr="00830C1E">
          <w:rPr>
            <w:rFonts w:ascii="Verdana" w:hAnsi="Verdana"/>
            <w:color w:val="EC7D06"/>
            <w:sz w:val="18"/>
            <w:szCs w:val="18"/>
            <w:u w:val="single"/>
            <w:shd w:val="clear" w:color="auto" w:fill="FFFFFF"/>
          </w:rPr>
          <w:t>Housing, Regeneration and Planning: Research Findings No.53/2010: A Study into the Capacity of Registered Social Landlords and Local Authorities to Build Housing across Scotland</w:t>
        </w:r>
      </w:hyperlink>
      <w:r>
        <w:rPr>
          <w:sz w:val="22"/>
          <w:szCs w:val="22"/>
        </w:rPr>
        <w:t xml:space="preserve"> </w:t>
      </w:r>
    </w:p>
  </w:footnote>
  <w:footnote w:id="2">
    <w:p w14:paraId="62F28252" w14:textId="28C539E8" w:rsidR="00BB0F73" w:rsidRDefault="00BB0F73">
      <w:pPr>
        <w:pStyle w:val="FootnoteText"/>
      </w:pPr>
      <w:r>
        <w:rPr>
          <w:rStyle w:val="FootnoteReference"/>
        </w:rPr>
        <w:footnoteRef/>
      </w:r>
      <w:r>
        <w:t xml:space="preserve"> </w:t>
      </w:r>
      <w:hyperlink r:id="rId2" w:history="1">
        <w:r w:rsidRPr="002E6757">
          <w:rPr>
            <w:rStyle w:val="Hyperlink"/>
          </w:rPr>
          <w:t>https://www.gov.scot/publications/housing-revenue-account-hra-statistics-scottish-local-authority-housing-income-expenditure-1997-98-2019-20-near-actuals-2020-21-budgeted-estimates/</w:t>
        </w:r>
      </w:hyperlink>
      <w:r>
        <w:t xml:space="preserve"> </w:t>
      </w:r>
    </w:p>
  </w:footnote>
  <w:footnote w:id="3">
    <w:p w14:paraId="704C3440" w14:textId="247195C5" w:rsidR="005F1F48" w:rsidRDefault="005F1F48">
      <w:pPr>
        <w:pStyle w:val="FootnoteText"/>
      </w:pPr>
      <w:r>
        <w:rPr>
          <w:rStyle w:val="FootnoteReference"/>
        </w:rPr>
        <w:footnoteRef/>
      </w:r>
      <w:r>
        <w:t xml:space="preserve"> </w:t>
      </w:r>
      <w:hyperlink r:id="rId3" w:history="1">
        <w:r w:rsidR="00723D91" w:rsidRPr="00534460">
          <w:rPr>
            <w:rStyle w:val="Hyperlink"/>
          </w:rPr>
          <w:t>https://www.housingregulator.gov.scot/landlord-performance/national-reports/financial-analysis/annual-loan-portfolio-returns-at-31-march-2019-technical-appendix-16-december-2019</w:t>
        </w:r>
      </w:hyperlink>
      <w:r>
        <w:t xml:space="preserve"> </w:t>
      </w:r>
    </w:p>
  </w:footnote>
  <w:footnote w:id="4">
    <w:p w14:paraId="3DDCD043" w14:textId="12F3619C" w:rsidR="00703630" w:rsidRDefault="00703630">
      <w:pPr>
        <w:pStyle w:val="FootnoteText"/>
      </w:pPr>
      <w:r>
        <w:rPr>
          <w:rStyle w:val="FootnoteReference"/>
        </w:rPr>
        <w:footnoteRef/>
      </w:r>
      <w:r>
        <w:t xml:space="preserve"> </w:t>
      </w:r>
      <w:hyperlink r:id="rId4" w:history="1">
        <w:r w:rsidRPr="00AF06E8">
          <w:rPr>
            <w:rStyle w:val="Hyperlink"/>
          </w:rPr>
          <w:t>https://www.gov.scot/publications/affordable-housing-supply-programme-out-turn-report-2019-2020/</w:t>
        </w:r>
      </w:hyperlink>
      <w:r>
        <w:t xml:space="preserve"> </w:t>
      </w:r>
    </w:p>
  </w:footnote>
  <w:footnote w:id="5">
    <w:p w14:paraId="6E62A823" w14:textId="7076B54F" w:rsidR="00F373C3" w:rsidRDefault="00F373C3">
      <w:pPr>
        <w:pStyle w:val="FootnoteText"/>
      </w:pPr>
      <w:r>
        <w:rPr>
          <w:rStyle w:val="FootnoteReference"/>
        </w:rPr>
        <w:footnoteRef/>
      </w:r>
      <w:r>
        <w:t xml:space="preserve"> </w:t>
      </w:r>
      <w:hyperlink r:id="rId5" w:history="1">
        <w:r w:rsidR="00854B96" w:rsidRPr="00534460">
          <w:rPr>
            <w:rStyle w:val="Hyperlink"/>
          </w:rPr>
          <w:t>https://www.landcommission.gov.scot/downloads/5de1a716b632b_Land-Lines-Discussion-Paper-Housing-Land-Market-Dec-2017.pdf</w:t>
        </w:r>
      </w:hyperlink>
      <w:r w:rsidR="00854B9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863"/>
    <w:multiLevelType w:val="hybridMultilevel"/>
    <w:tmpl w:val="C40CA0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70866"/>
    <w:multiLevelType w:val="hybridMultilevel"/>
    <w:tmpl w:val="0934713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5191D"/>
    <w:multiLevelType w:val="hybridMultilevel"/>
    <w:tmpl w:val="A2DC3E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CA6C94"/>
    <w:multiLevelType w:val="hybridMultilevel"/>
    <w:tmpl w:val="8C8A2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CC6FC2"/>
    <w:multiLevelType w:val="hybridMultilevel"/>
    <w:tmpl w:val="4DC6FE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BD14E1"/>
    <w:multiLevelType w:val="hybridMultilevel"/>
    <w:tmpl w:val="684A3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AE5DCC"/>
    <w:multiLevelType w:val="hybridMultilevel"/>
    <w:tmpl w:val="5650C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E63"/>
    <w:rsid w:val="000105EC"/>
    <w:rsid w:val="000113D6"/>
    <w:rsid w:val="0003494C"/>
    <w:rsid w:val="000425AD"/>
    <w:rsid w:val="0004582B"/>
    <w:rsid w:val="00052CE0"/>
    <w:rsid w:val="00063F82"/>
    <w:rsid w:val="0006612D"/>
    <w:rsid w:val="000665EF"/>
    <w:rsid w:val="00074CDB"/>
    <w:rsid w:val="000905A1"/>
    <w:rsid w:val="00096485"/>
    <w:rsid w:val="000A3113"/>
    <w:rsid w:val="000A57D8"/>
    <w:rsid w:val="000A734B"/>
    <w:rsid w:val="000B3D36"/>
    <w:rsid w:val="000C3BD5"/>
    <w:rsid w:val="000D4CEA"/>
    <w:rsid w:val="000E329C"/>
    <w:rsid w:val="000E6AE9"/>
    <w:rsid w:val="000F241A"/>
    <w:rsid w:val="000F4A4A"/>
    <w:rsid w:val="001311C5"/>
    <w:rsid w:val="00131BFA"/>
    <w:rsid w:val="0015494A"/>
    <w:rsid w:val="001616EC"/>
    <w:rsid w:val="0019031C"/>
    <w:rsid w:val="00193773"/>
    <w:rsid w:val="001A0625"/>
    <w:rsid w:val="001B2CDE"/>
    <w:rsid w:val="001B3037"/>
    <w:rsid w:val="001B7786"/>
    <w:rsid w:val="001C44BC"/>
    <w:rsid w:val="001C70AC"/>
    <w:rsid w:val="001E5F04"/>
    <w:rsid w:val="001F5280"/>
    <w:rsid w:val="002118D9"/>
    <w:rsid w:val="00221525"/>
    <w:rsid w:val="002243D8"/>
    <w:rsid w:val="00235D42"/>
    <w:rsid w:val="00236804"/>
    <w:rsid w:val="00241554"/>
    <w:rsid w:val="0024201F"/>
    <w:rsid w:val="002553E6"/>
    <w:rsid w:val="00261BFD"/>
    <w:rsid w:val="00273001"/>
    <w:rsid w:val="002732F5"/>
    <w:rsid w:val="00281A32"/>
    <w:rsid w:val="00281F52"/>
    <w:rsid w:val="00286005"/>
    <w:rsid w:val="00286996"/>
    <w:rsid w:val="002A21A6"/>
    <w:rsid w:val="002A68D5"/>
    <w:rsid w:val="002D16A6"/>
    <w:rsid w:val="002E4477"/>
    <w:rsid w:val="002E5C06"/>
    <w:rsid w:val="002E78DD"/>
    <w:rsid w:val="002F442D"/>
    <w:rsid w:val="00305FDE"/>
    <w:rsid w:val="0031112C"/>
    <w:rsid w:val="003205E2"/>
    <w:rsid w:val="00337EEF"/>
    <w:rsid w:val="003452AE"/>
    <w:rsid w:val="003529F7"/>
    <w:rsid w:val="00364D59"/>
    <w:rsid w:val="00370093"/>
    <w:rsid w:val="0037660C"/>
    <w:rsid w:val="003811B8"/>
    <w:rsid w:val="00384B1B"/>
    <w:rsid w:val="0039496E"/>
    <w:rsid w:val="003A215E"/>
    <w:rsid w:val="003A4477"/>
    <w:rsid w:val="003B006C"/>
    <w:rsid w:val="003C307A"/>
    <w:rsid w:val="003D7881"/>
    <w:rsid w:val="003E04A9"/>
    <w:rsid w:val="003F57A4"/>
    <w:rsid w:val="00400A3C"/>
    <w:rsid w:val="00407BA8"/>
    <w:rsid w:val="00427DEE"/>
    <w:rsid w:val="004324A0"/>
    <w:rsid w:val="00436A98"/>
    <w:rsid w:val="00472BA2"/>
    <w:rsid w:val="0047736A"/>
    <w:rsid w:val="004802AF"/>
    <w:rsid w:val="00487637"/>
    <w:rsid w:val="004A3699"/>
    <w:rsid w:val="004A3B43"/>
    <w:rsid w:val="004A51D5"/>
    <w:rsid w:val="004B3C1A"/>
    <w:rsid w:val="004B5DB4"/>
    <w:rsid w:val="004C496F"/>
    <w:rsid w:val="004C4D03"/>
    <w:rsid w:val="004C7245"/>
    <w:rsid w:val="004D7028"/>
    <w:rsid w:val="004D7543"/>
    <w:rsid w:val="004F37AC"/>
    <w:rsid w:val="004F45CD"/>
    <w:rsid w:val="0051071A"/>
    <w:rsid w:val="00511015"/>
    <w:rsid w:val="00545C1B"/>
    <w:rsid w:val="00546645"/>
    <w:rsid w:val="00552A46"/>
    <w:rsid w:val="00555451"/>
    <w:rsid w:val="00557020"/>
    <w:rsid w:val="00562007"/>
    <w:rsid w:val="0056443A"/>
    <w:rsid w:val="00581B0B"/>
    <w:rsid w:val="00582B85"/>
    <w:rsid w:val="005A344B"/>
    <w:rsid w:val="005A3681"/>
    <w:rsid w:val="005B2178"/>
    <w:rsid w:val="005C5BED"/>
    <w:rsid w:val="005D21D7"/>
    <w:rsid w:val="005E5891"/>
    <w:rsid w:val="005F1F48"/>
    <w:rsid w:val="005F6FF8"/>
    <w:rsid w:val="006044FD"/>
    <w:rsid w:val="00644A12"/>
    <w:rsid w:val="00646621"/>
    <w:rsid w:val="006555B8"/>
    <w:rsid w:val="00660C01"/>
    <w:rsid w:val="006643CE"/>
    <w:rsid w:val="006657C5"/>
    <w:rsid w:val="00671322"/>
    <w:rsid w:val="00671BB4"/>
    <w:rsid w:val="00673B1B"/>
    <w:rsid w:val="00681D6B"/>
    <w:rsid w:val="006826CD"/>
    <w:rsid w:val="006B452A"/>
    <w:rsid w:val="006D3246"/>
    <w:rsid w:val="006D6C99"/>
    <w:rsid w:val="006E08BD"/>
    <w:rsid w:val="006E0CEB"/>
    <w:rsid w:val="006E73CD"/>
    <w:rsid w:val="006F02EE"/>
    <w:rsid w:val="006F40F2"/>
    <w:rsid w:val="00703630"/>
    <w:rsid w:val="00721814"/>
    <w:rsid w:val="00723D91"/>
    <w:rsid w:val="007268E6"/>
    <w:rsid w:val="00726CFB"/>
    <w:rsid w:val="00730469"/>
    <w:rsid w:val="00730E8F"/>
    <w:rsid w:val="00735CC0"/>
    <w:rsid w:val="00743D04"/>
    <w:rsid w:val="00747C9F"/>
    <w:rsid w:val="00751CDE"/>
    <w:rsid w:val="00754830"/>
    <w:rsid w:val="00755CCB"/>
    <w:rsid w:val="0075672A"/>
    <w:rsid w:val="00757225"/>
    <w:rsid w:val="007654F3"/>
    <w:rsid w:val="00765594"/>
    <w:rsid w:val="00782FD2"/>
    <w:rsid w:val="0079029E"/>
    <w:rsid w:val="007A17E3"/>
    <w:rsid w:val="007C392A"/>
    <w:rsid w:val="007D0E26"/>
    <w:rsid w:val="007E498B"/>
    <w:rsid w:val="007F6FBC"/>
    <w:rsid w:val="008108B1"/>
    <w:rsid w:val="0081294A"/>
    <w:rsid w:val="00814CE4"/>
    <w:rsid w:val="00815CF8"/>
    <w:rsid w:val="00820359"/>
    <w:rsid w:val="00826B9E"/>
    <w:rsid w:val="00830C1E"/>
    <w:rsid w:val="00835F0C"/>
    <w:rsid w:val="00842ABD"/>
    <w:rsid w:val="0085024A"/>
    <w:rsid w:val="00850B97"/>
    <w:rsid w:val="00854B96"/>
    <w:rsid w:val="00860E42"/>
    <w:rsid w:val="0086469B"/>
    <w:rsid w:val="00886A10"/>
    <w:rsid w:val="00890071"/>
    <w:rsid w:val="00890288"/>
    <w:rsid w:val="00892CC2"/>
    <w:rsid w:val="008A71E6"/>
    <w:rsid w:val="008B072C"/>
    <w:rsid w:val="008C7836"/>
    <w:rsid w:val="008D054E"/>
    <w:rsid w:val="009025E8"/>
    <w:rsid w:val="00905249"/>
    <w:rsid w:val="00907629"/>
    <w:rsid w:val="00914587"/>
    <w:rsid w:val="009263D5"/>
    <w:rsid w:val="00934806"/>
    <w:rsid w:val="0093532E"/>
    <w:rsid w:val="00937EA8"/>
    <w:rsid w:val="00942F27"/>
    <w:rsid w:val="00944003"/>
    <w:rsid w:val="009448D0"/>
    <w:rsid w:val="00952BF0"/>
    <w:rsid w:val="00953E7E"/>
    <w:rsid w:val="00966EA0"/>
    <w:rsid w:val="00974303"/>
    <w:rsid w:val="00992176"/>
    <w:rsid w:val="009957F7"/>
    <w:rsid w:val="00997E15"/>
    <w:rsid w:val="009A5C0F"/>
    <w:rsid w:val="009C30C5"/>
    <w:rsid w:val="009C6DD2"/>
    <w:rsid w:val="009C6F3F"/>
    <w:rsid w:val="009D136F"/>
    <w:rsid w:val="009D6457"/>
    <w:rsid w:val="009E4B80"/>
    <w:rsid w:val="009E5BCF"/>
    <w:rsid w:val="009E5BDD"/>
    <w:rsid w:val="009F2001"/>
    <w:rsid w:val="009F2234"/>
    <w:rsid w:val="009F3A7F"/>
    <w:rsid w:val="009F4DBA"/>
    <w:rsid w:val="00A10889"/>
    <w:rsid w:val="00A16546"/>
    <w:rsid w:val="00A17C4A"/>
    <w:rsid w:val="00A25092"/>
    <w:rsid w:val="00A251A8"/>
    <w:rsid w:val="00A300DA"/>
    <w:rsid w:val="00A41525"/>
    <w:rsid w:val="00A437FD"/>
    <w:rsid w:val="00A47F99"/>
    <w:rsid w:val="00A67A8A"/>
    <w:rsid w:val="00A71458"/>
    <w:rsid w:val="00A71949"/>
    <w:rsid w:val="00A76667"/>
    <w:rsid w:val="00A80418"/>
    <w:rsid w:val="00A86211"/>
    <w:rsid w:val="00A90ED4"/>
    <w:rsid w:val="00A91A66"/>
    <w:rsid w:val="00A9290B"/>
    <w:rsid w:val="00A96D2F"/>
    <w:rsid w:val="00AE2831"/>
    <w:rsid w:val="00AE70FF"/>
    <w:rsid w:val="00B00661"/>
    <w:rsid w:val="00B21548"/>
    <w:rsid w:val="00B33FA6"/>
    <w:rsid w:val="00B3603E"/>
    <w:rsid w:val="00B36B83"/>
    <w:rsid w:val="00B36EFA"/>
    <w:rsid w:val="00B4486E"/>
    <w:rsid w:val="00B46B63"/>
    <w:rsid w:val="00B53B64"/>
    <w:rsid w:val="00B54942"/>
    <w:rsid w:val="00B75587"/>
    <w:rsid w:val="00B840BD"/>
    <w:rsid w:val="00B92ED7"/>
    <w:rsid w:val="00BB0370"/>
    <w:rsid w:val="00BB0F73"/>
    <w:rsid w:val="00BB44BD"/>
    <w:rsid w:val="00BB5201"/>
    <w:rsid w:val="00BB53AD"/>
    <w:rsid w:val="00BC53BC"/>
    <w:rsid w:val="00BC5505"/>
    <w:rsid w:val="00BD5339"/>
    <w:rsid w:val="00BD688C"/>
    <w:rsid w:val="00BE6A11"/>
    <w:rsid w:val="00C067C9"/>
    <w:rsid w:val="00C141B3"/>
    <w:rsid w:val="00C21A04"/>
    <w:rsid w:val="00C26D15"/>
    <w:rsid w:val="00C346BD"/>
    <w:rsid w:val="00C37B9C"/>
    <w:rsid w:val="00C4006F"/>
    <w:rsid w:val="00C423FB"/>
    <w:rsid w:val="00C5113C"/>
    <w:rsid w:val="00C55C55"/>
    <w:rsid w:val="00C70C4F"/>
    <w:rsid w:val="00C81F53"/>
    <w:rsid w:val="00C8677E"/>
    <w:rsid w:val="00C90C89"/>
    <w:rsid w:val="00C948B0"/>
    <w:rsid w:val="00C95EB9"/>
    <w:rsid w:val="00CA4006"/>
    <w:rsid w:val="00CA5DA9"/>
    <w:rsid w:val="00CD02CC"/>
    <w:rsid w:val="00CD5765"/>
    <w:rsid w:val="00CD71B4"/>
    <w:rsid w:val="00CF0568"/>
    <w:rsid w:val="00D0304E"/>
    <w:rsid w:val="00D04976"/>
    <w:rsid w:val="00D0505A"/>
    <w:rsid w:val="00D10B77"/>
    <w:rsid w:val="00D14D10"/>
    <w:rsid w:val="00D1640B"/>
    <w:rsid w:val="00D234CA"/>
    <w:rsid w:val="00D3636F"/>
    <w:rsid w:val="00D42F24"/>
    <w:rsid w:val="00D44759"/>
    <w:rsid w:val="00D46C3F"/>
    <w:rsid w:val="00D55318"/>
    <w:rsid w:val="00D63FAF"/>
    <w:rsid w:val="00D671A2"/>
    <w:rsid w:val="00D67758"/>
    <w:rsid w:val="00D70D54"/>
    <w:rsid w:val="00D806A2"/>
    <w:rsid w:val="00D83B9D"/>
    <w:rsid w:val="00D9101A"/>
    <w:rsid w:val="00D92790"/>
    <w:rsid w:val="00D932D2"/>
    <w:rsid w:val="00D94F8D"/>
    <w:rsid w:val="00DA0460"/>
    <w:rsid w:val="00DA3C20"/>
    <w:rsid w:val="00DA4E63"/>
    <w:rsid w:val="00DA7AD8"/>
    <w:rsid w:val="00DC28A5"/>
    <w:rsid w:val="00DC5E82"/>
    <w:rsid w:val="00DC7693"/>
    <w:rsid w:val="00DD2321"/>
    <w:rsid w:val="00DF5BC9"/>
    <w:rsid w:val="00DF7719"/>
    <w:rsid w:val="00DF78A0"/>
    <w:rsid w:val="00DF7906"/>
    <w:rsid w:val="00E05946"/>
    <w:rsid w:val="00E07362"/>
    <w:rsid w:val="00E14EFF"/>
    <w:rsid w:val="00E225B6"/>
    <w:rsid w:val="00E2621D"/>
    <w:rsid w:val="00E32D5B"/>
    <w:rsid w:val="00E50B8A"/>
    <w:rsid w:val="00E73263"/>
    <w:rsid w:val="00E80980"/>
    <w:rsid w:val="00E952EC"/>
    <w:rsid w:val="00E96CB2"/>
    <w:rsid w:val="00EA10E0"/>
    <w:rsid w:val="00EA7153"/>
    <w:rsid w:val="00EB4C4F"/>
    <w:rsid w:val="00EB6FF4"/>
    <w:rsid w:val="00EC1F42"/>
    <w:rsid w:val="00ED221D"/>
    <w:rsid w:val="00ED2B0D"/>
    <w:rsid w:val="00EE1C16"/>
    <w:rsid w:val="00F14EDB"/>
    <w:rsid w:val="00F15EC2"/>
    <w:rsid w:val="00F3156C"/>
    <w:rsid w:val="00F373C3"/>
    <w:rsid w:val="00F44C7A"/>
    <w:rsid w:val="00F4571C"/>
    <w:rsid w:val="00F504FC"/>
    <w:rsid w:val="00F50FCF"/>
    <w:rsid w:val="00F71F08"/>
    <w:rsid w:val="00F838B7"/>
    <w:rsid w:val="00F87C38"/>
    <w:rsid w:val="00F976DB"/>
    <w:rsid w:val="00FA096B"/>
    <w:rsid w:val="00FA35F8"/>
    <w:rsid w:val="00FA4EFC"/>
    <w:rsid w:val="00FB4564"/>
    <w:rsid w:val="00FC00DF"/>
    <w:rsid w:val="00FC26C8"/>
    <w:rsid w:val="00FC4C93"/>
    <w:rsid w:val="00FC6088"/>
    <w:rsid w:val="00FD0E70"/>
    <w:rsid w:val="00FD3CAA"/>
    <w:rsid w:val="00FE7645"/>
    <w:rsid w:val="00FF1A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D297"/>
  <w15:docId w15:val="{27D44F69-FC65-4D20-9A36-80D0A6AA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BED"/>
    <w:pPr>
      <w:ind w:left="720"/>
      <w:contextualSpacing/>
    </w:pPr>
  </w:style>
  <w:style w:type="character" w:styleId="Hyperlink">
    <w:name w:val="Hyperlink"/>
    <w:basedOn w:val="DefaultParagraphFont"/>
    <w:uiPriority w:val="99"/>
    <w:unhideWhenUsed/>
    <w:rsid w:val="005C5BED"/>
    <w:rPr>
      <w:color w:val="0563C1" w:themeColor="hyperlink"/>
      <w:u w:val="single"/>
    </w:rPr>
  </w:style>
  <w:style w:type="character" w:customStyle="1" w:styleId="UnresolvedMention1">
    <w:name w:val="Unresolved Mention1"/>
    <w:basedOn w:val="DefaultParagraphFont"/>
    <w:uiPriority w:val="99"/>
    <w:semiHidden/>
    <w:unhideWhenUsed/>
    <w:rsid w:val="005C5BED"/>
    <w:rPr>
      <w:color w:val="605E5C"/>
      <w:shd w:val="clear" w:color="auto" w:fill="E1DFDD"/>
    </w:rPr>
  </w:style>
  <w:style w:type="paragraph" w:styleId="FootnoteText">
    <w:name w:val="footnote text"/>
    <w:basedOn w:val="Normal"/>
    <w:link w:val="FootnoteTextChar"/>
    <w:uiPriority w:val="99"/>
    <w:semiHidden/>
    <w:unhideWhenUsed/>
    <w:rsid w:val="00286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005"/>
    <w:rPr>
      <w:sz w:val="20"/>
      <w:szCs w:val="20"/>
    </w:rPr>
  </w:style>
  <w:style w:type="character" w:styleId="FootnoteReference">
    <w:name w:val="footnote reference"/>
    <w:basedOn w:val="DefaultParagraphFont"/>
    <w:uiPriority w:val="99"/>
    <w:semiHidden/>
    <w:unhideWhenUsed/>
    <w:rsid w:val="00286005"/>
    <w:rPr>
      <w:vertAlign w:val="superscript"/>
    </w:rPr>
  </w:style>
  <w:style w:type="paragraph" w:styleId="Header">
    <w:name w:val="header"/>
    <w:basedOn w:val="Normal"/>
    <w:link w:val="HeaderChar"/>
    <w:uiPriority w:val="99"/>
    <w:unhideWhenUsed/>
    <w:rsid w:val="00D6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A2"/>
  </w:style>
  <w:style w:type="paragraph" w:styleId="Footer">
    <w:name w:val="footer"/>
    <w:basedOn w:val="Normal"/>
    <w:link w:val="FooterChar"/>
    <w:uiPriority w:val="99"/>
    <w:unhideWhenUsed/>
    <w:rsid w:val="00D6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A2"/>
  </w:style>
  <w:style w:type="paragraph" w:styleId="BalloonText">
    <w:name w:val="Balloon Text"/>
    <w:basedOn w:val="Normal"/>
    <w:link w:val="BalloonTextChar"/>
    <w:uiPriority w:val="99"/>
    <w:semiHidden/>
    <w:unhideWhenUsed/>
    <w:rsid w:val="009A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0F"/>
    <w:rPr>
      <w:rFonts w:ascii="Tahoma" w:hAnsi="Tahoma" w:cs="Tahoma"/>
      <w:sz w:val="16"/>
      <w:szCs w:val="16"/>
    </w:rPr>
  </w:style>
  <w:style w:type="character" w:styleId="CommentReference">
    <w:name w:val="annotation reference"/>
    <w:basedOn w:val="DefaultParagraphFont"/>
    <w:uiPriority w:val="99"/>
    <w:semiHidden/>
    <w:unhideWhenUsed/>
    <w:rsid w:val="009A5C0F"/>
    <w:rPr>
      <w:sz w:val="16"/>
      <w:szCs w:val="16"/>
    </w:rPr>
  </w:style>
  <w:style w:type="paragraph" w:styleId="CommentText">
    <w:name w:val="annotation text"/>
    <w:basedOn w:val="Normal"/>
    <w:link w:val="CommentTextChar"/>
    <w:uiPriority w:val="99"/>
    <w:semiHidden/>
    <w:unhideWhenUsed/>
    <w:rsid w:val="009A5C0F"/>
    <w:pPr>
      <w:spacing w:line="240" w:lineRule="auto"/>
    </w:pPr>
    <w:rPr>
      <w:sz w:val="20"/>
      <w:szCs w:val="20"/>
    </w:rPr>
  </w:style>
  <w:style w:type="character" w:customStyle="1" w:styleId="CommentTextChar">
    <w:name w:val="Comment Text Char"/>
    <w:basedOn w:val="DefaultParagraphFont"/>
    <w:link w:val="CommentText"/>
    <w:uiPriority w:val="99"/>
    <w:semiHidden/>
    <w:rsid w:val="009A5C0F"/>
    <w:rPr>
      <w:sz w:val="20"/>
      <w:szCs w:val="20"/>
    </w:rPr>
  </w:style>
  <w:style w:type="paragraph" w:styleId="CommentSubject">
    <w:name w:val="annotation subject"/>
    <w:basedOn w:val="CommentText"/>
    <w:next w:val="CommentText"/>
    <w:link w:val="CommentSubjectChar"/>
    <w:uiPriority w:val="99"/>
    <w:semiHidden/>
    <w:unhideWhenUsed/>
    <w:rsid w:val="009A5C0F"/>
    <w:rPr>
      <w:b/>
      <w:bCs/>
    </w:rPr>
  </w:style>
  <w:style w:type="character" w:customStyle="1" w:styleId="CommentSubjectChar">
    <w:name w:val="Comment Subject Char"/>
    <w:basedOn w:val="CommentTextChar"/>
    <w:link w:val="CommentSubject"/>
    <w:uiPriority w:val="99"/>
    <w:semiHidden/>
    <w:rsid w:val="009A5C0F"/>
    <w:rPr>
      <w:b/>
      <w:bCs/>
      <w:sz w:val="20"/>
      <w:szCs w:val="20"/>
    </w:rPr>
  </w:style>
  <w:style w:type="character" w:customStyle="1" w:styleId="UnresolvedMention2">
    <w:name w:val="Unresolved Mention2"/>
    <w:basedOn w:val="DefaultParagraphFont"/>
    <w:uiPriority w:val="99"/>
    <w:semiHidden/>
    <w:unhideWhenUsed/>
    <w:rsid w:val="00703630"/>
    <w:rPr>
      <w:color w:val="605E5C"/>
      <w:shd w:val="clear" w:color="auto" w:fill="E1DFDD"/>
    </w:rPr>
  </w:style>
  <w:style w:type="character" w:styleId="UnresolvedMention">
    <w:name w:val="Unresolved Mention"/>
    <w:basedOn w:val="DefaultParagraphFont"/>
    <w:uiPriority w:val="99"/>
    <w:semiHidden/>
    <w:unhideWhenUsed/>
    <w:rsid w:val="00BB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32050">
      <w:bodyDiv w:val="1"/>
      <w:marLeft w:val="0"/>
      <w:marRight w:val="0"/>
      <w:marTop w:val="0"/>
      <w:marBottom w:val="0"/>
      <w:divBdr>
        <w:top w:val="none" w:sz="0" w:space="0" w:color="auto"/>
        <w:left w:val="none" w:sz="0" w:space="0" w:color="auto"/>
        <w:bottom w:val="none" w:sz="0" w:space="0" w:color="auto"/>
        <w:right w:val="none" w:sz="0" w:space="0" w:color="auto"/>
      </w:divBdr>
    </w:div>
    <w:div w:id="14906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gov.scot/publications/housing-revenue-account-hra-statistics-scottish-local-authority-housing-income-expenditure-1997-98-2019-20-near-actuals-2020-21-budgeted-estimates/"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A791-C76F-4E6E-A69E-102FF315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cain</dc:creator>
  <cp:lastModifiedBy>tony cain</cp:lastModifiedBy>
  <cp:revision>76</cp:revision>
  <dcterms:created xsi:type="dcterms:W3CDTF">2021-03-25T22:09:00Z</dcterms:created>
  <dcterms:modified xsi:type="dcterms:W3CDTF">2021-04-21T10:20:00Z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