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9363" w14:textId="77777777" w:rsidR="008D2E56" w:rsidRPr="008D2E56" w:rsidRDefault="008D2E56">
      <w:pPr>
        <w:rPr>
          <w:rFonts w:ascii="Arial" w:hAnsi="Arial" w:cs="Arial"/>
          <w:b/>
          <w:u w:val="single"/>
        </w:rPr>
      </w:pPr>
      <w:r w:rsidRPr="008D2E56">
        <w:rPr>
          <w:rFonts w:ascii="Arial" w:hAnsi="Arial" w:cs="Arial"/>
          <w:b/>
          <w:u w:val="single"/>
        </w:rPr>
        <w:t>Summary of main points regardin</w:t>
      </w:r>
      <w:r w:rsidR="00D47D3B">
        <w:rPr>
          <w:rFonts w:ascii="Arial" w:hAnsi="Arial" w:cs="Arial"/>
          <w:b/>
          <w:u w:val="single"/>
        </w:rPr>
        <w:t>g Scottish Government</w:t>
      </w:r>
      <w:r w:rsidRPr="008D2E56">
        <w:rPr>
          <w:rFonts w:ascii="Arial" w:hAnsi="Arial" w:cs="Arial"/>
          <w:b/>
          <w:u w:val="single"/>
        </w:rPr>
        <w:t xml:space="preserve"> proposed council/RSL subsidy </w:t>
      </w:r>
      <w:proofErr w:type="gramStart"/>
      <w:r w:rsidRPr="008D2E56">
        <w:rPr>
          <w:rFonts w:ascii="Arial" w:hAnsi="Arial" w:cs="Arial"/>
          <w:b/>
          <w:u w:val="single"/>
        </w:rPr>
        <w:t>benchmarks</w:t>
      </w:r>
      <w:proofErr w:type="gramEnd"/>
    </w:p>
    <w:p w14:paraId="4D810C50" w14:textId="77777777" w:rsidR="008D2E56" w:rsidRPr="008D2E56" w:rsidRDefault="008D2E56">
      <w:pPr>
        <w:rPr>
          <w:rFonts w:ascii="Arial" w:hAnsi="Arial" w:cs="Arial"/>
          <w:u w:val="single"/>
        </w:rPr>
      </w:pPr>
    </w:p>
    <w:p w14:paraId="6AC2409C" w14:textId="77777777" w:rsidR="008D2E56" w:rsidRDefault="00313B7E">
      <w:pPr>
        <w:rPr>
          <w:rFonts w:ascii="Arial" w:hAnsi="Arial" w:cs="Arial"/>
          <w:u w:val="single"/>
        </w:rPr>
      </w:pPr>
      <w:r>
        <w:rPr>
          <w:rFonts w:ascii="Arial" w:hAnsi="Arial" w:cs="Arial"/>
          <w:u w:val="single"/>
        </w:rPr>
        <w:t>26</w:t>
      </w:r>
      <w:r w:rsidR="008D2E56" w:rsidRPr="008D2E56">
        <w:rPr>
          <w:rFonts w:ascii="Arial" w:hAnsi="Arial" w:cs="Arial"/>
          <w:u w:val="single"/>
        </w:rPr>
        <w:t xml:space="preserve"> April 2020</w:t>
      </w:r>
      <w:r w:rsidR="00E752E3">
        <w:rPr>
          <w:rFonts w:ascii="Arial" w:hAnsi="Arial" w:cs="Arial"/>
          <w:u w:val="single"/>
        </w:rPr>
        <w:t xml:space="preserve"> </w:t>
      </w:r>
    </w:p>
    <w:p w14:paraId="3935A1ED" w14:textId="77777777" w:rsidR="005B2320" w:rsidRDefault="005B2320">
      <w:pPr>
        <w:rPr>
          <w:rFonts w:ascii="Arial" w:hAnsi="Arial" w:cs="Arial"/>
          <w:u w:val="single"/>
        </w:rPr>
      </w:pPr>
    </w:p>
    <w:p w14:paraId="5991C13C" w14:textId="77777777" w:rsidR="005B2320" w:rsidRDefault="005B2320">
      <w:pPr>
        <w:rPr>
          <w:rFonts w:ascii="Arial" w:hAnsi="Arial" w:cs="Arial"/>
          <w:u w:val="single"/>
        </w:rPr>
      </w:pPr>
      <w:r>
        <w:rPr>
          <w:rFonts w:ascii="Arial" w:hAnsi="Arial" w:cs="Arial"/>
          <w:u w:val="single"/>
        </w:rPr>
        <w:t>Summary</w:t>
      </w:r>
    </w:p>
    <w:p w14:paraId="47AF0738" w14:textId="77777777" w:rsidR="005B2320" w:rsidRDefault="005B2320">
      <w:pPr>
        <w:rPr>
          <w:rFonts w:ascii="Arial" w:hAnsi="Arial" w:cs="Arial"/>
          <w:u w:val="single"/>
        </w:rPr>
      </w:pPr>
    </w:p>
    <w:p w14:paraId="20B4C2D1" w14:textId="77777777" w:rsidR="005B2320" w:rsidRDefault="005B2320">
      <w:pPr>
        <w:rPr>
          <w:rFonts w:ascii="Arial" w:hAnsi="Arial" w:cs="Arial"/>
        </w:rPr>
      </w:pPr>
      <w:r>
        <w:rPr>
          <w:rFonts w:ascii="Arial" w:hAnsi="Arial" w:cs="Arial"/>
        </w:rPr>
        <w:t xml:space="preserve">Following the meeting between </w:t>
      </w:r>
      <w:proofErr w:type="spellStart"/>
      <w:r>
        <w:rPr>
          <w:rFonts w:ascii="Arial" w:hAnsi="Arial" w:cs="Arial"/>
        </w:rPr>
        <w:t>Cosla</w:t>
      </w:r>
      <w:proofErr w:type="spellEnd"/>
      <w:r>
        <w:rPr>
          <w:rFonts w:ascii="Arial" w:hAnsi="Arial" w:cs="Arial"/>
        </w:rPr>
        <w:t>, ALACHO and the Scottish Government on 20 April, the Scottish government was asked to provide further evidence to justify its proposal for increased council benchmarks. This paper seeks to provide that evidence based on three core elements;</w:t>
      </w:r>
    </w:p>
    <w:p w14:paraId="51A28CBD" w14:textId="77777777" w:rsidR="005B2320" w:rsidRDefault="005B2320">
      <w:pPr>
        <w:rPr>
          <w:rFonts w:ascii="Arial" w:hAnsi="Arial" w:cs="Arial"/>
        </w:rPr>
      </w:pPr>
    </w:p>
    <w:p w14:paraId="63FE0D11" w14:textId="77777777" w:rsidR="005B2320" w:rsidRDefault="005B2320">
      <w:pPr>
        <w:rPr>
          <w:rFonts w:ascii="Arial" w:hAnsi="Arial" w:cs="Arial"/>
        </w:rPr>
      </w:pPr>
      <w:r>
        <w:rPr>
          <w:rFonts w:ascii="Arial" w:hAnsi="Arial" w:cs="Arial"/>
        </w:rPr>
        <w:t>(a)</w:t>
      </w:r>
      <w:r>
        <w:rPr>
          <w:rFonts w:ascii="Arial" w:hAnsi="Arial" w:cs="Arial"/>
        </w:rPr>
        <w:tab/>
        <w:t>An explanation of the different nature of the lending sources (PWLB vs bank)</w:t>
      </w:r>
    </w:p>
    <w:p w14:paraId="24484049" w14:textId="77777777" w:rsidR="005B2320" w:rsidRDefault="005B2320">
      <w:pPr>
        <w:rPr>
          <w:rFonts w:ascii="Arial" w:hAnsi="Arial" w:cs="Arial"/>
        </w:rPr>
      </w:pPr>
    </w:p>
    <w:p w14:paraId="02D6F4B5" w14:textId="77777777" w:rsidR="005B2320" w:rsidRDefault="005B2320">
      <w:pPr>
        <w:rPr>
          <w:rFonts w:ascii="Arial" w:hAnsi="Arial" w:cs="Arial"/>
        </w:rPr>
      </w:pPr>
      <w:r>
        <w:rPr>
          <w:rFonts w:ascii="Arial" w:hAnsi="Arial" w:cs="Arial"/>
        </w:rPr>
        <w:t>(b)</w:t>
      </w:r>
      <w:r>
        <w:rPr>
          <w:rFonts w:ascii="Arial" w:hAnsi="Arial" w:cs="Arial"/>
        </w:rPr>
        <w:tab/>
      </w:r>
      <w:commentRangeStart w:id="0"/>
      <w:commentRangeStart w:id="1"/>
      <w:r>
        <w:rPr>
          <w:rFonts w:ascii="Arial" w:hAnsi="Arial" w:cs="Arial"/>
        </w:rPr>
        <w:t>A more accurate comparison of the interest rates for new lending than that contained in the paper submitted by ALACHO (by comparing interest rates in both sectors for new loans), and</w:t>
      </w:r>
      <w:commentRangeEnd w:id="0"/>
      <w:r w:rsidR="006E76C3">
        <w:rPr>
          <w:rStyle w:val="CommentReference"/>
        </w:rPr>
        <w:commentReference w:id="0"/>
      </w:r>
      <w:commentRangeEnd w:id="1"/>
      <w:r w:rsidR="009875D6">
        <w:rPr>
          <w:rStyle w:val="CommentReference"/>
        </w:rPr>
        <w:commentReference w:id="1"/>
      </w:r>
    </w:p>
    <w:p w14:paraId="0B768279" w14:textId="77777777" w:rsidR="005B2320" w:rsidRDefault="005B2320">
      <w:pPr>
        <w:rPr>
          <w:rFonts w:ascii="Arial" w:hAnsi="Arial" w:cs="Arial"/>
        </w:rPr>
      </w:pPr>
    </w:p>
    <w:p w14:paraId="5C7810B5" w14:textId="77777777" w:rsidR="005B2320" w:rsidRDefault="005B2320">
      <w:pPr>
        <w:rPr>
          <w:rFonts w:ascii="Arial" w:hAnsi="Arial" w:cs="Arial"/>
        </w:rPr>
      </w:pPr>
      <w:r>
        <w:rPr>
          <w:rFonts w:ascii="Arial" w:hAnsi="Arial" w:cs="Arial"/>
        </w:rPr>
        <w:t>(c)</w:t>
      </w:r>
      <w:r>
        <w:rPr>
          <w:rFonts w:ascii="Arial" w:hAnsi="Arial" w:cs="Arial"/>
        </w:rPr>
        <w:tab/>
      </w:r>
      <w:commentRangeStart w:id="2"/>
      <w:commentRangeStart w:id="3"/>
      <w:r>
        <w:rPr>
          <w:rFonts w:ascii="Arial" w:hAnsi="Arial" w:cs="Arial"/>
        </w:rPr>
        <w:t>Some further detail regarding additional costs borne by RSLs that are not borne by councils</w:t>
      </w:r>
      <w:commentRangeEnd w:id="2"/>
      <w:r w:rsidR="006E76C3">
        <w:rPr>
          <w:rStyle w:val="CommentReference"/>
        </w:rPr>
        <w:commentReference w:id="2"/>
      </w:r>
      <w:commentRangeEnd w:id="3"/>
      <w:r w:rsidR="00AD0451">
        <w:rPr>
          <w:rStyle w:val="CommentReference"/>
        </w:rPr>
        <w:commentReference w:id="3"/>
      </w:r>
    </w:p>
    <w:p w14:paraId="0525DBCC" w14:textId="77777777" w:rsidR="005B2320" w:rsidRDefault="005B2320">
      <w:pPr>
        <w:rPr>
          <w:rFonts w:ascii="Arial" w:hAnsi="Arial" w:cs="Arial"/>
        </w:rPr>
      </w:pPr>
    </w:p>
    <w:p w14:paraId="186DC275" w14:textId="77777777" w:rsidR="005B2320" w:rsidRPr="005B2320" w:rsidRDefault="005B2320">
      <w:pPr>
        <w:rPr>
          <w:rFonts w:ascii="Arial" w:hAnsi="Arial" w:cs="Arial"/>
        </w:rPr>
      </w:pPr>
      <w:r>
        <w:rPr>
          <w:rFonts w:ascii="Arial" w:hAnsi="Arial" w:cs="Arial"/>
        </w:rPr>
        <w:t xml:space="preserve">Based on this evidence, the Scottish Government believes that the current offer is a reasonable one that is capable of being recommended to Ministers and Council Leaders and urges partners to coalesce around this proposal </w:t>
      </w:r>
      <w:proofErr w:type="gramStart"/>
      <w:r>
        <w:rPr>
          <w:rFonts w:ascii="Arial" w:hAnsi="Arial" w:cs="Arial"/>
        </w:rPr>
        <w:t>in order to</w:t>
      </w:r>
      <w:proofErr w:type="gramEnd"/>
      <w:r>
        <w:rPr>
          <w:rFonts w:ascii="Arial" w:hAnsi="Arial" w:cs="Arial"/>
        </w:rPr>
        <w:t xml:space="preserve"> make the strongest possible case for such a recommendation.</w:t>
      </w:r>
    </w:p>
    <w:p w14:paraId="45C9AF76" w14:textId="77777777" w:rsidR="008D2E56" w:rsidRDefault="008D2E56">
      <w:pPr>
        <w:rPr>
          <w:rFonts w:ascii="Arial" w:hAnsi="Arial" w:cs="Arial"/>
        </w:rPr>
      </w:pPr>
    </w:p>
    <w:p w14:paraId="655D1B1B" w14:textId="77777777" w:rsidR="005B2320" w:rsidRPr="005B2320" w:rsidRDefault="005B2320">
      <w:pPr>
        <w:rPr>
          <w:rFonts w:ascii="Arial" w:hAnsi="Arial" w:cs="Arial"/>
          <w:u w:val="single"/>
        </w:rPr>
      </w:pPr>
      <w:r w:rsidRPr="005B2320">
        <w:rPr>
          <w:rFonts w:ascii="Arial" w:hAnsi="Arial" w:cs="Arial"/>
          <w:u w:val="single"/>
        </w:rPr>
        <w:t>Evidence Summary</w:t>
      </w:r>
    </w:p>
    <w:p w14:paraId="3FE5C176" w14:textId="77777777" w:rsidR="005B2320" w:rsidRDefault="005B2320">
      <w:pPr>
        <w:rPr>
          <w:rFonts w:ascii="Arial" w:hAnsi="Arial" w:cs="Arial"/>
        </w:rPr>
      </w:pPr>
    </w:p>
    <w:p w14:paraId="6C3B9FDC" w14:textId="77777777" w:rsidR="00AD54D3" w:rsidRDefault="008C0F08">
      <w:pPr>
        <w:rPr>
          <w:rFonts w:ascii="Arial" w:hAnsi="Arial" w:cs="Arial"/>
        </w:rPr>
      </w:pPr>
      <w:r>
        <w:rPr>
          <w:rFonts w:ascii="Arial" w:hAnsi="Arial" w:cs="Arial"/>
        </w:rPr>
        <w:t>1</w:t>
      </w:r>
      <w:r>
        <w:rPr>
          <w:rFonts w:ascii="Arial" w:hAnsi="Arial" w:cs="Arial"/>
        </w:rPr>
        <w:tab/>
        <w:t xml:space="preserve">All partners have recognised that the origins of Scottish Government support for new affordable homes are quite different for councils than for housing associations. </w:t>
      </w:r>
      <w:commentRangeStart w:id="4"/>
      <w:r>
        <w:rPr>
          <w:rFonts w:ascii="Arial" w:hAnsi="Arial" w:cs="Arial"/>
        </w:rPr>
        <w:t>ALACHO</w:t>
      </w:r>
      <w:commentRangeEnd w:id="4"/>
      <w:r w:rsidR="006E76C3">
        <w:rPr>
          <w:rStyle w:val="CommentReference"/>
        </w:rPr>
        <w:commentReference w:id="4"/>
      </w:r>
      <w:r>
        <w:rPr>
          <w:rFonts w:ascii="Arial" w:hAnsi="Arial" w:cs="Arial"/>
        </w:rPr>
        <w:t xml:space="preserve"> has argued that, in the current circumstances, there is no justification for any difference between the two sectors – an argument for ‘parity’. Within that parity argument, ALACHO has argued for a single framework</w:t>
      </w:r>
      <w:r w:rsidR="00AD54D3">
        <w:rPr>
          <w:rFonts w:ascii="Arial" w:hAnsi="Arial" w:cs="Arial"/>
        </w:rPr>
        <w:t xml:space="preserve"> </w:t>
      </w:r>
      <w:proofErr w:type="gramStart"/>
      <w:r w:rsidR="00AD54D3">
        <w:rPr>
          <w:rFonts w:ascii="Arial" w:hAnsi="Arial" w:cs="Arial"/>
        </w:rPr>
        <w:t>and also</w:t>
      </w:r>
      <w:proofErr w:type="gramEnd"/>
      <w:r w:rsidR="00AD54D3">
        <w:rPr>
          <w:rFonts w:ascii="Arial" w:hAnsi="Arial" w:cs="Arial"/>
        </w:rPr>
        <w:t xml:space="preserve"> identical benchmarks.</w:t>
      </w:r>
    </w:p>
    <w:p w14:paraId="4670AC83" w14:textId="77777777" w:rsidR="00AD54D3" w:rsidRDefault="00AD54D3">
      <w:pPr>
        <w:rPr>
          <w:rFonts w:ascii="Arial" w:hAnsi="Arial" w:cs="Arial"/>
        </w:rPr>
      </w:pPr>
    </w:p>
    <w:p w14:paraId="6B970583" w14:textId="77777777" w:rsidR="00AD54D3" w:rsidRDefault="00AD54D3">
      <w:pPr>
        <w:rPr>
          <w:rFonts w:ascii="Arial" w:hAnsi="Arial" w:cs="Arial"/>
        </w:rPr>
      </w:pPr>
      <w:r>
        <w:rPr>
          <w:rFonts w:ascii="Arial" w:hAnsi="Arial" w:cs="Arial"/>
        </w:rPr>
        <w:t>2</w:t>
      </w:r>
      <w:r>
        <w:rPr>
          <w:rFonts w:ascii="Arial" w:hAnsi="Arial" w:cs="Arial"/>
        </w:rPr>
        <w:tab/>
      </w:r>
      <w:commentRangeStart w:id="5"/>
      <w:commentRangeStart w:id="6"/>
      <w:r>
        <w:rPr>
          <w:rFonts w:ascii="Arial" w:hAnsi="Arial" w:cs="Arial"/>
        </w:rPr>
        <w:t>In response, the SG has pointed out that over the past 5 years, 84% of council grant applications have sought grant at or below benchmark. At face value this does not suggest that the current benchmarks are wrong</w:t>
      </w:r>
      <w:commentRangeEnd w:id="5"/>
      <w:r w:rsidR="006E76C3">
        <w:rPr>
          <w:rStyle w:val="CommentReference"/>
        </w:rPr>
        <w:commentReference w:id="5"/>
      </w:r>
      <w:commentRangeEnd w:id="6"/>
      <w:r w:rsidR="001C4232">
        <w:rPr>
          <w:rStyle w:val="CommentReference"/>
        </w:rPr>
        <w:commentReference w:id="6"/>
      </w:r>
      <w:r>
        <w:rPr>
          <w:rFonts w:ascii="Arial" w:hAnsi="Arial" w:cs="Arial"/>
        </w:rPr>
        <w:t>. However, all partners recognise the criticality of rent levels – particularly for our shared goal of tackling child poverty – and SG has therefore listened to ALACHO</w:t>
      </w:r>
      <w:r w:rsidR="00D47D3B">
        <w:rPr>
          <w:rFonts w:ascii="Arial" w:hAnsi="Arial" w:cs="Arial"/>
        </w:rPr>
        <w:t>’</w:t>
      </w:r>
      <w:r>
        <w:rPr>
          <w:rFonts w:ascii="Arial" w:hAnsi="Arial" w:cs="Arial"/>
        </w:rPr>
        <w:t xml:space="preserve">s concern in this regard. Council rents are influenced by a wide range of factors such as expenditure on repairs, historical debt, management costs etc and decisions on these matters are taken by councils as they develop their HRA business plans. Through that process, councils also determine whether they wish to use HRA resources to support new build, and, if so, at what level. It is important that rents are kept affordable and if that affordability is in </w:t>
      </w:r>
      <w:proofErr w:type="gramStart"/>
      <w:r>
        <w:rPr>
          <w:rFonts w:ascii="Arial" w:hAnsi="Arial" w:cs="Arial"/>
        </w:rPr>
        <w:t>jeopardy</w:t>
      </w:r>
      <w:proofErr w:type="gramEnd"/>
      <w:r>
        <w:rPr>
          <w:rFonts w:ascii="Arial" w:hAnsi="Arial" w:cs="Arial"/>
        </w:rPr>
        <w:t xml:space="preserve"> then any one of the above factors (or a mix of them) could be the driver(s). Indeed, the influence of these various factors will no doubt be different for different councils.</w:t>
      </w:r>
    </w:p>
    <w:p w14:paraId="1BBB7052" w14:textId="77777777" w:rsidR="00AD54D3" w:rsidRDefault="00AD54D3">
      <w:pPr>
        <w:rPr>
          <w:rFonts w:ascii="Arial" w:hAnsi="Arial" w:cs="Arial"/>
        </w:rPr>
      </w:pPr>
    </w:p>
    <w:p w14:paraId="00D0CBD7" w14:textId="77777777" w:rsidR="00AD54D3" w:rsidRDefault="00AD54D3">
      <w:pPr>
        <w:rPr>
          <w:rFonts w:ascii="Arial" w:hAnsi="Arial" w:cs="Arial"/>
        </w:rPr>
      </w:pPr>
      <w:r>
        <w:rPr>
          <w:rFonts w:ascii="Arial" w:hAnsi="Arial" w:cs="Arial"/>
        </w:rPr>
        <w:lastRenderedPageBreak/>
        <w:t>3</w:t>
      </w:r>
      <w:r>
        <w:rPr>
          <w:rFonts w:ascii="Arial" w:hAnsi="Arial" w:cs="Arial"/>
        </w:rPr>
        <w:tab/>
        <w:t xml:space="preserve">Notwithstanding </w:t>
      </w:r>
      <w:proofErr w:type="gramStart"/>
      <w:r>
        <w:rPr>
          <w:rFonts w:ascii="Arial" w:hAnsi="Arial" w:cs="Arial"/>
        </w:rPr>
        <w:t>all of</w:t>
      </w:r>
      <w:proofErr w:type="gramEnd"/>
      <w:r>
        <w:rPr>
          <w:rFonts w:ascii="Arial" w:hAnsi="Arial" w:cs="Arial"/>
        </w:rPr>
        <w:t xml:space="preserve"> the above, the SG has proposed some significant changes to the benchmark regime including the following;</w:t>
      </w:r>
    </w:p>
    <w:p w14:paraId="6528A69C" w14:textId="77777777" w:rsidR="00AD54D3" w:rsidRDefault="00AD54D3">
      <w:pPr>
        <w:rPr>
          <w:rFonts w:ascii="Arial" w:hAnsi="Arial" w:cs="Arial"/>
        </w:rPr>
      </w:pPr>
    </w:p>
    <w:p w14:paraId="638C8EA8" w14:textId="77777777" w:rsidR="002021B9" w:rsidRDefault="002021B9" w:rsidP="00AD54D3">
      <w:pPr>
        <w:pStyle w:val="ListParagraph"/>
        <w:numPr>
          <w:ilvl w:val="0"/>
          <w:numId w:val="1"/>
        </w:numPr>
        <w:rPr>
          <w:rFonts w:ascii="Arial" w:hAnsi="Arial" w:cs="Arial"/>
        </w:rPr>
      </w:pPr>
      <w:r>
        <w:rPr>
          <w:rFonts w:ascii="Arial" w:hAnsi="Arial" w:cs="Arial"/>
        </w:rPr>
        <w:t>Significantly increasing the council benchmarks</w:t>
      </w:r>
    </w:p>
    <w:p w14:paraId="22499C20" w14:textId="77777777" w:rsidR="002021B9" w:rsidRDefault="002021B9" w:rsidP="002021B9">
      <w:pPr>
        <w:pStyle w:val="ListParagraph"/>
        <w:rPr>
          <w:rFonts w:ascii="Arial" w:hAnsi="Arial" w:cs="Arial"/>
        </w:rPr>
      </w:pPr>
    </w:p>
    <w:p w14:paraId="7CF729F9" w14:textId="77777777" w:rsidR="00AD54D3" w:rsidRDefault="00AD54D3" w:rsidP="00AD54D3">
      <w:pPr>
        <w:pStyle w:val="ListParagraph"/>
        <w:numPr>
          <w:ilvl w:val="0"/>
          <w:numId w:val="1"/>
        </w:numPr>
        <w:rPr>
          <w:rFonts w:ascii="Arial" w:hAnsi="Arial" w:cs="Arial"/>
        </w:rPr>
      </w:pPr>
      <w:r>
        <w:rPr>
          <w:rFonts w:ascii="Arial" w:hAnsi="Arial" w:cs="Arial"/>
        </w:rPr>
        <w:t xml:space="preserve">Aligning the council benchmarks to the RSL ones by introducing the same geographical framework, using the </w:t>
      </w:r>
      <w:r w:rsidR="00D47D3B">
        <w:rPr>
          <w:rFonts w:ascii="Arial" w:hAnsi="Arial" w:cs="Arial"/>
        </w:rPr>
        <w:t xml:space="preserve">same </w:t>
      </w:r>
      <w:r>
        <w:rPr>
          <w:rFonts w:ascii="Arial" w:hAnsi="Arial" w:cs="Arial"/>
        </w:rPr>
        <w:t>3P equivalent and supplementing the benchmark for a variety of quality improvements (</w:t>
      </w:r>
      <w:proofErr w:type="spellStart"/>
      <w:proofErr w:type="gramStart"/>
      <w:r>
        <w:rPr>
          <w:rFonts w:ascii="Arial" w:hAnsi="Arial" w:cs="Arial"/>
        </w:rPr>
        <w:t>eg</w:t>
      </w:r>
      <w:proofErr w:type="spellEnd"/>
      <w:proofErr w:type="gramEnd"/>
      <w:r>
        <w:rPr>
          <w:rFonts w:ascii="Arial" w:hAnsi="Arial" w:cs="Arial"/>
        </w:rPr>
        <w:t xml:space="preserve"> fire suppression)</w:t>
      </w:r>
    </w:p>
    <w:p w14:paraId="3112380F" w14:textId="77777777" w:rsidR="00D47D3B" w:rsidRDefault="00D47D3B" w:rsidP="00D47D3B">
      <w:pPr>
        <w:pStyle w:val="ListParagraph"/>
        <w:rPr>
          <w:rFonts w:ascii="Arial" w:hAnsi="Arial" w:cs="Arial"/>
        </w:rPr>
      </w:pPr>
    </w:p>
    <w:p w14:paraId="22FD6201" w14:textId="77777777" w:rsidR="00FE63C3" w:rsidRDefault="00AD54D3" w:rsidP="00AD54D3">
      <w:pPr>
        <w:pStyle w:val="ListParagraph"/>
        <w:numPr>
          <w:ilvl w:val="0"/>
          <w:numId w:val="1"/>
        </w:numPr>
        <w:rPr>
          <w:rFonts w:ascii="Arial" w:hAnsi="Arial" w:cs="Arial"/>
        </w:rPr>
      </w:pPr>
      <w:r>
        <w:rPr>
          <w:rFonts w:ascii="Arial" w:hAnsi="Arial" w:cs="Arial"/>
        </w:rPr>
        <w:t>Reviewing the benchmarks annually using the SS</w:t>
      </w:r>
      <w:r w:rsidR="00FE63C3">
        <w:rPr>
          <w:rFonts w:ascii="Arial" w:hAnsi="Arial" w:cs="Arial"/>
        </w:rPr>
        <w:t>HTPI</w:t>
      </w:r>
    </w:p>
    <w:p w14:paraId="6DA58FEF" w14:textId="77777777" w:rsidR="00FE63C3" w:rsidRDefault="00FE63C3" w:rsidP="00FE63C3">
      <w:pPr>
        <w:rPr>
          <w:rFonts w:ascii="Arial" w:hAnsi="Arial" w:cs="Arial"/>
        </w:rPr>
      </w:pPr>
    </w:p>
    <w:p w14:paraId="038FC049" w14:textId="77777777" w:rsidR="00FE63C3" w:rsidRDefault="00FE63C3" w:rsidP="00FE63C3">
      <w:pPr>
        <w:rPr>
          <w:rFonts w:ascii="Arial" w:hAnsi="Arial" w:cs="Arial"/>
        </w:rPr>
      </w:pPr>
      <w:r>
        <w:rPr>
          <w:rFonts w:ascii="Arial" w:hAnsi="Arial" w:cs="Arial"/>
        </w:rPr>
        <w:t xml:space="preserve">The effect of these changes is to reduce the difference between council and RSL benchmarks to </w:t>
      </w:r>
      <w:r w:rsidR="00EF0C27" w:rsidRPr="002021B9">
        <w:rPr>
          <w:rFonts w:ascii="Arial" w:hAnsi="Arial" w:cs="Arial"/>
        </w:rPr>
        <w:t xml:space="preserve">between 9 and </w:t>
      </w:r>
      <w:r w:rsidRPr="002021B9">
        <w:rPr>
          <w:rFonts w:ascii="Arial" w:hAnsi="Arial" w:cs="Arial"/>
        </w:rPr>
        <w:t>1</w:t>
      </w:r>
      <w:r w:rsidR="00EF0C27" w:rsidRPr="002021B9">
        <w:rPr>
          <w:rFonts w:ascii="Arial" w:hAnsi="Arial" w:cs="Arial"/>
        </w:rPr>
        <w:t>5</w:t>
      </w:r>
      <w:r w:rsidRPr="002021B9">
        <w:rPr>
          <w:rFonts w:ascii="Arial" w:hAnsi="Arial" w:cs="Arial"/>
        </w:rPr>
        <w:t>% (</w:t>
      </w:r>
      <w:r w:rsidR="002021B9" w:rsidRPr="002021B9">
        <w:rPr>
          <w:rFonts w:ascii="Arial" w:hAnsi="Arial" w:cs="Arial"/>
        </w:rPr>
        <w:t>Annex 2</w:t>
      </w:r>
      <w:r w:rsidR="00EF0C27" w:rsidRPr="002021B9">
        <w:rPr>
          <w:rFonts w:ascii="Arial" w:hAnsi="Arial" w:cs="Arial"/>
        </w:rPr>
        <w:t xml:space="preserve"> illustrates the calculations used</w:t>
      </w:r>
      <w:r w:rsidRPr="002021B9">
        <w:rPr>
          <w:rFonts w:ascii="Arial" w:hAnsi="Arial" w:cs="Arial"/>
        </w:rPr>
        <w:t>)</w:t>
      </w:r>
      <w:r w:rsidR="00D47D3B" w:rsidRPr="002021B9">
        <w:rPr>
          <w:rFonts w:ascii="Arial" w:hAnsi="Arial" w:cs="Arial"/>
        </w:rPr>
        <w:t xml:space="preserve"> in favour of RSLs.</w:t>
      </w:r>
      <w:r w:rsidRPr="002021B9">
        <w:rPr>
          <w:rFonts w:ascii="Arial" w:hAnsi="Arial" w:cs="Arial"/>
        </w:rPr>
        <w:t xml:space="preserve"> </w:t>
      </w:r>
      <w:r w:rsidR="002021B9" w:rsidRPr="002021B9">
        <w:rPr>
          <w:rFonts w:ascii="Arial" w:hAnsi="Arial" w:cs="Arial"/>
        </w:rPr>
        <w:t>Annex 2</w:t>
      </w:r>
      <w:r w:rsidR="005B2320">
        <w:rPr>
          <w:rFonts w:ascii="Arial" w:hAnsi="Arial" w:cs="Arial"/>
        </w:rPr>
        <w:t xml:space="preserve"> also provides a worked</w:t>
      </w:r>
      <w:r w:rsidR="00EF0C27" w:rsidRPr="002021B9">
        <w:rPr>
          <w:rFonts w:ascii="Arial" w:hAnsi="Arial" w:cs="Arial"/>
        </w:rPr>
        <w:t xml:space="preserve"> example of the new benchmarks when applied to a </w:t>
      </w:r>
      <w:commentRangeStart w:id="7"/>
      <w:r w:rsidR="00EF0C27" w:rsidRPr="002021B9">
        <w:rPr>
          <w:rFonts w:ascii="Arial" w:hAnsi="Arial" w:cs="Arial"/>
        </w:rPr>
        <w:t>project</w:t>
      </w:r>
      <w:commentRangeEnd w:id="7"/>
      <w:r w:rsidR="0059122E">
        <w:rPr>
          <w:rStyle w:val="CommentReference"/>
        </w:rPr>
        <w:commentReference w:id="7"/>
      </w:r>
      <w:r w:rsidR="00EF0C27" w:rsidRPr="002021B9">
        <w:rPr>
          <w:rFonts w:ascii="Arial" w:hAnsi="Arial" w:cs="Arial"/>
        </w:rPr>
        <w:t>.</w:t>
      </w:r>
    </w:p>
    <w:p w14:paraId="3CD058C2" w14:textId="77777777" w:rsidR="00FE63C3" w:rsidRDefault="00FE63C3" w:rsidP="00FE63C3">
      <w:pPr>
        <w:rPr>
          <w:rFonts w:ascii="Arial" w:hAnsi="Arial" w:cs="Arial"/>
        </w:rPr>
      </w:pPr>
    </w:p>
    <w:p w14:paraId="1FE9D2B6" w14:textId="77777777" w:rsidR="00FE63C3" w:rsidRDefault="00FE63C3" w:rsidP="00FE63C3">
      <w:pPr>
        <w:rPr>
          <w:rFonts w:ascii="Arial" w:hAnsi="Arial" w:cs="Arial"/>
        </w:rPr>
      </w:pPr>
      <w:r>
        <w:rPr>
          <w:rFonts w:ascii="Arial" w:hAnsi="Arial" w:cs="Arial"/>
        </w:rPr>
        <w:t>4</w:t>
      </w:r>
      <w:r>
        <w:rPr>
          <w:rFonts w:ascii="Arial" w:hAnsi="Arial" w:cs="Arial"/>
        </w:rPr>
        <w:tab/>
        <w:t xml:space="preserve">The SG considers this to be a reasonable offer which is capable of being justified to Scottish Ministers and Council Leaders </w:t>
      </w:r>
      <w:commentRangeStart w:id="8"/>
      <w:r>
        <w:rPr>
          <w:rFonts w:ascii="Arial" w:hAnsi="Arial" w:cs="Arial"/>
        </w:rPr>
        <w:t xml:space="preserve">(despite the current 84% of current projects from councils coming in at or below benchmark). </w:t>
      </w:r>
      <w:commentRangeEnd w:id="8"/>
      <w:r w:rsidR="00592167">
        <w:rPr>
          <w:rStyle w:val="CommentReference"/>
        </w:rPr>
        <w:commentReference w:id="8"/>
      </w:r>
      <w:r>
        <w:rPr>
          <w:rFonts w:ascii="Arial" w:hAnsi="Arial" w:cs="Arial"/>
        </w:rPr>
        <w:t>In response, ALACHO believes that this is not a fair offer and seeks full parity.</w:t>
      </w:r>
    </w:p>
    <w:p w14:paraId="6845477D" w14:textId="77777777" w:rsidR="00FE63C3" w:rsidRDefault="00FE63C3" w:rsidP="00FE63C3">
      <w:pPr>
        <w:rPr>
          <w:rFonts w:ascii="Arial" w:hAnsi="Arial" w:cs="Arial"/>
        </w:rPr>
      </w:pPr>
    </w:p>
    <w:p w14:paraId="44D4692A" w14:textId="77777777" w:rsidR="00FE63C3" w:rsidRDefault="00FE63C3" w:rsidP="00FE63C3">
      <w:pPr>
        <w:rPr>
          <w:rFonts w:ascii="Arial" w:hAnsi="Arial" w:cs="Arial"/>
        </w:rPr>
      </w:pPr>
      <w:r>
        <w:rPr>
          <w:rFonts w:ascii="Arial" w:hAnsi="Arial" w:cs="Arial"/>
        </w:rPr>
        <w:t>5</w:t>
      </w:r>
      <w:r>
        <w:rPr>
          <w:rFonts w:ascii="Arial" w:hAnsi="Arial" w:cs="Arial"/>
        </w:rPr>
        <w:tab/>
      </w:r>
      <w:commentRangeStart w:id="9"/>
      <w:r>
        <w:rPr>
          <w:rFonts w:ascii="Arial" w:hAnsi="Arial" w:cs="Arial"/>
        </w:rPr>
        <w:t>Bearing in mind that these are benchmarks and not grant levels, the system does not need to be 100% precise in every respect</w:t>
      </w:r>
      <w:commentRangeEnd w:id="9"/>
      <w:r w:rsidR="00592167">
        <w:rPr>
          <w:rStyle w:val="CommentReference"/>
        </w:rPr>
        <w:commentReference w:id="9"/>
      </w:r>
      <w:r>
        <w:rPr>
          <w:rFonts w:ascii="Arial" w:hAnsi="Arial" w:cs="Arial"/>
        </w:rPr>
        <w:t xml:space="preserve">. It needs to be workable by ensuring only a manageable proportion of projects require above benchmark VFM scrutiny. It is also preferable that the new benchmarks can be agreed by partners and presented as a united proposal to Ministers and Leaders. And </w:t>
      </w:r>
      <w:proofErr w:type="gramStart"/>
      <w:r>
        <w:rPr>
          <w:rFonts w:ascii="Arial" w:hAnsi="Arial" w:cs="Arial"/>
        </w:rPr>
        <w:t>also</w:t>
      </w:r>
      <w:proofErr w:type="gramEnd"/>
      <w:r>
        <w:rPr>
          <w:rFonts w:ascii="Arial" w:hAnsi="Arial" w:cs="Arial"/>
        </w:rPr>
        <w:t xml:space="preserve"> that this discussion is concluded timeously so that we can all get on with building urgently needed affordable homes as </w:t>
      </w:r>
      <w:r w:rsidR="00D47D3B">
        <w:rPr>
          <w:rFonts w:ascii="Arial" w:hAnsi="Arial" w:cs="Arial"/>
        </w:rPr>
        <w:t xml:space="preserve">effectively and </w:t>
      </w:r>
      <w:r>
        <w:rPr>
          <w:rFonts w:ascii="Arial" w:hAnsi="Arial" w:cs="Arial"/>
        </w:rPr>
        <w:t>quickly as possible.</w:t>
      </w:r>
    </w:p>
    <w:p w14:paraId="23D35989" w14:textId="77777777" w:rsidR="00FE63C3" w:rsidRDefault="00FE63C3" w:rsidP="00FE63C3">
      <w:pPr>
        <w:rPr>
          <w:rFonts w:ascii="Arial" w:hAnsi="Arial" w:cs="Arial"/>
        </w:rPr>
      </w:pPr>
    </w:p>
    <w:p w14:paraId="7E1E981C" w14:textId="77777777" w:rsidR="00FE63C3" w:rsidRDefault="00FE63C3" w:rsidP="00FE63C3">
      <w:pPr>
        <w:rPr>
          <w:rFonts w:ascii="Arial" w:hAnsi="Arial" w:cs="Arial"/>
        </w:rPr>
      </w:pPr>
      <w:r>
        <w:rPr>
          <w:rFonts w:ascii="Arial" w:hAnsi="Arial" w:cs="Arial"/>
        </w:rPr>
        <w:t>6</w:t>
      </w:r>
      <w:r>
        <w:rPr>
          <w:rFonts w:ascii="Arial" w:hAnsi="Arial" w:cs="Arial"/>
        </w:rPr>
        <w:tab/>
        <w:t>With the aim of progressing this important issue, SG has therefore summarised below its reasoning for the proposal that has been made.</w:t>
      </w:r>
    </w:p>
    <w:p w14:paraId="76BE64FA" w14:textId="77777777" w:rsidR="00FE63C3" w:rsidRDefault="00FE63C3" w:rsidP="00FE63C3">
      <w:pPr>
        <w:rPr>
          <w:rFonts w:ascii="Arial" w:hAnsi="Arial" w:cs="Arial"/>
        </w:rPr>
      </w:pPr>
    </w:p>
    <w:p w14:paraId="0134BFF0" w14:textId="77777777" w:rsidR="00FE63C3" w:rsidRPr="00FE63C3" w:rsidRDefault="00FE63C3" w:rsidP="00FE63C3">
      <w:pPr>
        <w:rPr>
          <w:rFonts w:ascii="Arial" w:hAnsi="Arial" w:cs="Arial"/>
          <w:u w:val="single"/>
        </w:rPr>
      </w:pPr>
      <w:r w:rsidRPr="00FE63C3">
        <w:rPr>
          <w:rFonts w:ascii="Arial" w:hAnsi="Arial" w:cs="Arial"/>
          <w:u w:val="single"/>
        </w:rPr>
        <w:t>Summary of reasoning behind the proposal</w:t>
      </w:r>
    </w:p>
    <w:p w14:paraId="5FB40A11" w14:textId="77777777" w:rsidR="00FE63C3" w:rsidRDefault="00FE63C3" w:rsidP="00FE63C3">
      <w:pPr>
        <w:rPr>
          <w:rFonts w:ascii="Arial" w:hAnsi="Arial" w:cs="Arial"/>
        </w:rPr>
      </w:pPr>
    </w:p>
    <w:p w14:paraId="18F30AA4" w14:textId="77777777" w:rsidR="00FE63C3" w:rsidRDefault="00FE63C3" w:rsidP="00FE63C3">
      <w:pPr>
        <w:rPr>
          <w:rFonts w:ascii="Arial" w:hAnsi="Arial" w:cs="Arial"/>
        </w:rPr>
      </w:pPr>
      <w:r>
        <w:rPr>
          <w:rFonts w:ascii="Arial" w:hAnsi="Arial" w:cs="Arial"/>
        </w:rPr>
        <w:t>7</w:t>
      </w:r>
      <w:r>
        <w:rPr>
          <w:rFonts w:ascii="Arial" w:hAnsi="Arial" w:cs="Arial"/>
        </w:rPr>
        <w:tab/>
      </w:r>
      <w:commentRangeStart w:id="10"/>
      <w:r>
        <w:rPr>
          <w:rFonts w:ascii="Arial" w:hAnsi="Arial" w:cs="Arial"/>
        </w:rPr>
        <w:t>84% of council projects are currently seeking grant at or below benchmark.</w:t>
      </w:r>
      <w:commentRangeEnd w:id="10"/>
      <w:r w:rsidR="00592167">
        <w:rPr>
          <w:rStyle w:val="CommentReference"/>
        </w:rPr>
        <w:commentReference w:id="10"/>
      </w:r>
    </w:p>
    <w:p w14:paraId="3EEBFA10" w14:textId="77777777" w:rsidR="00FE63C3" w:rsidRDefault="00FE63C3" w:rsidP="00FE63C3">
      <w:pPr>
        <w:rPr>
          <w:rFonts w:ascii="Arial" w:hAnsi="Arial" w:cs="Arial"/>
        </w:rPr>
      </w:pPr>
    </w:p>
    <w:p w14:paraId="7DE51266" w14:textId="77777777" w:rsidR="00FE63C3" w:rsidRDefault="00FE63C3" w:rsidP="00FE63C3">
      <w:pPr>
        <w:rPr>
          <w:rFonts w:ascii="Arial" w:hAnsi="Arial" w:cs="Arial"/>
        </w:rPr>
      </w:pPr>
      <w:r>
        <w:rPr>
          <w:rFonts w:ascii="Arial" w:hAnsi="Arial" w:cs="Arial"/>
        </w:rPr>
        <w:t>8</w:t>
      </w:r>
      <w:r>
        <w:rPr>
          <w:rFonts w:ascii="Arial" w:hAnsi="Arial" w:cs="Arial"/>
        </w:rPr>
        <w:tab/>
        <w:t>Councils and RSLs operate under very different financial constraints/opportunities. For example;</w:t>
      </w:r>
    </w:p>
    <w:p w14:paraId="57FFC40C" w14:textId="77777777" w:rsidR="00CA5DBC" w:rsidRDefault="00CA5DBC" w:rsidP="00FE63C3">
      <w:pPr>
        <w:rPr>
          <w:rFonts w:ascii="Arial" w:hAnsi="Arial" w:cs="Arial"/>
        </w:rPr>
      </w:pPr>
    </w:p>
    <w:p w14:paraId="0A10D6E8" w14:textId="77777777" w:rsidR="00CF4C28" w:rsidRDefault="00F156B3" w:rsidP="00CF4C28">
      <w:pPr>
        <w:pStyle w:val="ListParagraph"/>
        <w:numPr>
          <w:ilvl w:val="0"/>
          <w:numId w:val="4"/>
        </w:numPr>
        <w:rPr>
          <w:rFonts w:ascii="Arial" w:hAnsi="Arial" w:cs="Arial"/>
        </w:rPr>
      </w:pPr>
      <w:commentRangeStart w:id="11"/>
      <w:commentRangeStart w:id="12"/>
      <w:r w:rsidRPr="00CF4C28">
        <w:rPr>
          <w:rFonts w:ascii="Arial" w:hAnsi="Arial" w:cs="Arial"/>
        </w:rPr>
        <w:t xml:space="preserve">Councils are seen </w:t>
      </w:r>
      <w:r w:rsidR="00CF4C28" w:rsidRPr="00CF4C28">
        <w:rPr>
          <w:rFonts w:ascii="Arial" w:hAnsi="Arial" w:cs="Arial"/>
        </w:rPr>
        <w:t xml:space="preserve">by investors </w:t>
      </w:r>
      <w:r w:rsidRPr="00CF4C28">
        <w:rPr>
          <w:rFonts w:ascii="Arial" w:hAnsi="Arial" w:cs="Arial"/>
        </w:rPr>
        <w:t>as inherently lower risk than RSLs</w:t>
      </w:r>
      <w:r w:rsidR="00224CC1" w:rsidRPr="00CF4C28">
        <w:rPr>
          <w:rFonts w:ascii="Arial" w:hAnsi="Arial" w:cs="Arial"/>
        </w:rPr>
        <w:t xml:space="preserve"> </w:t>
      </w:r>
      <w:commentRangeEnd w:id="11"/>
      <w:r w:rsidR="00592167">
        <w:rPr>
          <w:rStyle w:val="CommentReference"/>
        </w:rPr>
        <w:commentReference w:id="11"/>
      </w:r>
      <w:commentRangeEnd w:id="12"/>
      <w:r w:rsidR="002F423F">
        <w:rPr>
          <w:rStyle w:val="CommentReference"/>
        </w:rPr>
        <w:commentReference w:id="12"/>
      </w:r>
    </w:p>
    <w:p w14:paraId="43112DE4" w14:textId="77777777" w:rsidR="00F96EC7" w:rsidRDefault="00F96EC7" w:rsidP="00F96EC7">
      <w:pPr>
        <w:pStyle w:val="ListParagraph"/>
        <w:rPr>
          <w:rFonts w:ascii="Arial" w:hAnsi="Arial" w:cs="Arial"/>
        </w:rPr>
      </w:pPr>
    </w:p>
    <w:p w14:paraId="051A52BB" w14:textId="77777777" w:rsidR="00E13521" w:rsidRDefault="008B12EF" w:rsidP="00CF4C28">
      <w:pPr>
        <w:pStyle w:val="ListParagraph"/>
        <w:numPr>
          <w:ilvl w:val="0"/>
          <w:numId w:val="4"/>
        </w:numPr>
        <w:rPr>
          <w:rFonts w:ascii="Arial" w:hAnsi="Arial" w:cs="Arial"/>
        </w:rPr>
      </w:pPr>
      <w:r>
        <w:rPr>
          <w:rFonts w:ascii="Arial" w:hAnsi="Arial" w:cs="Arial"/>
        </w:rPr>
        <w:t xml:space="preserve">Councils are financially multi-faceted and </w:t>
      </w:r>
      <w:r w:rsidR="004C3E70">
        <w:rPr>
          <w:rFonts w:ascii="Arial" w:hAnsi="Arial" w:cs="Arial"/>
        </w:rPr>
        <w:t xml:space="preserve">have </w:t>
      </w:r>
      <w:r w:rsidR="00852797">
        <w:rPr>
          <w:rFonts w:ascii="Arial" w:hAnsi="Arial" w:cs="Arial"/>
        </w:rPr>
        <w:t>flexibility/</w:t>
      </w:r>
      <w:r w:rsidR="004C3E70">
        <w:rPr>
          <w:rFonts w:ascii="Arial" w:hAnsi="Arial" w:cs="Arial"/>
        </w:rPr>
        <w:t>opportunities</w:t>
      </w:r>
      <w:r w:rsidR="00B21001">
        <w:rPr>
          <w:rFonts w:ascii="Arial" w:hAnsi="Arial" w:cs="Arial"/>
        </w:rPr>
        <w:t xml:space="preserve"> that are not available to RSLs. It is recognised that not all councils would choose to </w:t>
      </w:r>
      <w:r w:rsidR="00E85BD0">
        <w:rPr>
          <w:rFonts w:ascii="Arial" w:hAnsi="Arial" w:cs="Arial"/>
        </w:rPr>
        <w:t>take up such options</w:t>
      </w:r>
      <w:r w:rsidR="00A249CE">
        <w:rPr>
          <w:rFonts w:ascii="Arial" w:hAnsi="Arial" w:cs="Arial"/>
        </w:rPr>
        <w:t xml:space="preserve"> and it is </w:t>
      </w:r>
      <w:r w:rsidR="00D47D3B">
        <w:rPr>
          <w:rFonts w:ascii="Arial" w:hAnsi="Arial" w:cs="Arial"/>
        </w:rPr>
        <w:t>recognised</w:t>
      </w:r>
      <w:r w:rsidR="00A249CE">
        <w:rPr>
          <w:rFonts w:ascii="Arial" w:hAnsi="Arial" w:cs="Arial"/>
        </w:rPr>
        <w:t xml:space="preserve"> that their</w:t>
      </w:r>
      <w:r w:rsidR="00456554">
        <w:rPr>
          <w:rFonts w:ascii="Arial" w:hAnsi="Arial" w:cs="Arial"/>
        </w:rPr>
        <w:t xml:space="preserve"> financial strategies are </w:t>
      </w:r>
      <w:r w:rsidR="009F05E3">
        <w:rPr>
          <w:rFonts w:ascii="Arial" w:hAnsi="Arial" w:cs="Arial"/>
        </w:rPr>
        <w:t xml:space="preserve">self-determined. </w:t>
      </w:r>
      <w:commentRangeStart w:id="13"/>
      <w:commentRangeStart w:id="14"/>
      <w:r w:rsidR="009F05E3">
        <w:rPr>
          <w:rFonts w:ascii="Arial" w:hAnsi="Arial" w:cs="Arial"/>
        </w:rPr>
        <w:t>Nevertheless, councils can cho</w:t>
      </w:r>
      <w:r w:rsidR="00F96EC7">
        <w:rPr>
          <w:rFonts w:ascii="Arial" w:hAnsi="Arial" w:cs="Arial"/>
        </w:rPr>
        <w:t>o</w:t>
      </w:r>
      <w:r w:rsidR="009F05E3">
        <w:rPr>
          <w:rFonts w:ascii="Arial" w:hAnsi="Arial" w:cs="Arial"/>
        </w:rPr>
        <w:t xml:space="preserve">se to reduce the discount on second homes and use the additional income for </w:t>
      </w:r>
      <w:r w:rsidR="005B2320">
        <w:rPr>
          <w:rFonts w:ascii="Arial" w:hAnsi="Arial" w:cs="Arial"/>
        </w:rPr>
        <w:t xml:space="preserve">new </w:t>
      </w:r>
      <w:r w:rsidR="009F05E3">
        <w:rPr>
          <w:rFonts w:ascii="Arial" w:hAnsi="Arial" w:cs="Arial"/>
        </w:rPr>
        <w:t>affordable housing</w:t>
      </w:r>
      <w:r w:rsidR="00FB57E6">
        <w:rPr>
          <w:rFonts w:ascii="Arial" w:hAnsi="Arial" w:cs="Arial"/>
        </w:rPr>
        <w:t xml:space="preserve"> (in 20/21,</w:t>
      </w:r>
      <w:r w:rsidR="00BC182E">
        <w:rPr>
          <w:rFonts w:ascii="Arial" w:hAnsi="Arial" w:cs="Arial"/>
        </w:rPr>
        <w:t xml:space="preserve"> 25 councils removed the discount</w:t>
      </w:r>
      <w:r w:rsidR="004F75BB">
        <w:rPr>
          <w:rFonts w:ascii="Arial" w:hAnsi="Arial" w:cs="Arial"/>
        </w:rPr>
        <w:t xml:space="preserve"> and</w:t>
      </w:r>
      <w:r w:rsidR="00EB6CB9">
        <w:rPr>
          <w:rFonts w:ascii="Arial" w:hAnsi="Arial" w:cs="Arial"/>
        </w:rPr>
        <w:t xml:space="preserve"> 6 retained the 10% discount</w:t>
      </w:r>
      <w:r w:rsidR="008F4C5F">
        <w:rPr>
          <w:rStyle w:val="FootnoteReference"/>
          <w:rFonts w:ascii="Arial" w:hAnsi="Arial" w:cs="Arial"/>
        </w:rPr>
        <w:footnoteReference w:id="1"/>
      </w:r>
      <w:r w:rsidR="00CF5550">
        <w:rPr>
          <w:rFonts w:ascii="Arial" w:hAnsi="Arial" w:cs="Arial"/>
        </w:rPr>
        <w:t>)</w:t>
      </w:r>
      <w:r w:rsidR="00F96EC7">
        <w:rPr>
          <w:rFonts w:ascii="Arial" w:hAnsi="Arial" w:cs="Arial"/>
        </w:rPr>
        <w:t xml:space="preserve">. </w:t>
      </w:r>
      <w:commentRangeEnd w:id="13"/>
      <w:r w:rsidR="00592167">
        <w:rPr>
          <w:rStyle w:val="CommentReference"/>
        </w:rPr>
        <w:commentReference w:id="13"/>
      </w:r>
      <w:commentRangeEnd w:id="14"/>
      <w:r w:rsidR="003A1B04">
        <w:rPr>
          <w:rStyle w:val="CommentReference"/>
        </w:rPr>
        <w:commentReference w:id="14"/>
      </w:r>
      <w:r w:rsidR="00F96EC7">
        <w:rPr>
          <w:rFonts w:ascii="Arial" w:hAnsi="Arial" w:cs="Arial"/>
        </w:rPr>
        <w:t>Also, as highlighted by ALACHO, councils have, at times</w:t>
      </w:r>
      <w:r w:rsidR="005B2320">
        <w:rPr>
          <w:rFonts w:ascii="Arial" w:hAnsi="Arial" w:cs="Arial"/>
        </w:rPr>
        <w:t>,</w:t>
      </w:r>
      <w:r w:rsidR="00F96EC7">
        <w:rPr>
          <w:rFonts w:ascii="Arial" w:hAnsi="Arial" w:cs="Arial"/>
        </w:rPr>
        <w:t xml:space="preserve"> chosen to </w:t>
      </w:r>
      <w:r w:rsidR="00F96EC7">
        <w:rPr>
          <w:rFonts w:ascii="Arial" w:hAnsi="Arial" w:cs="Arial"/>
        </w:rPr>
        <w:lastRenderedPageBreak/>
        <w:t xml:space="preserve">contribute land at nil or less than market value for affordable </w:t>
      </w:r>
      <w:commentRangeStart w:id="15"/>
      <w:r w:rsidR="00F96EC7">
        <w:rPr>
          <w:rFonts w:ascii="Arial" w:hAnsi="Arial" w:cs="Arial"/>
        </w:rPr>
        <w:t>housing</w:t>
      </w:r>
      <w:commentRangeEnd w:id="15"/>
      <w:r w:rsidR="00885E6E">
        <w:rPr>
          <w:rStyle w:val="CommentReference"/>
        </w:rPr>
        <w:commentReference w:id="15"/>
      </w:r>
      <w:r w:rsidR="00F96EC7">
        <w:rPr>
          <w:rFonts w:ascii="Arial" w:hAnsi="Arial" w:cs="Arial"/>
        </w:rPr>
        <w:t>. It is recognised that this has become more challenging in recent times.</w:t>
      </w:r>
    </w:p>
    <w:p w14:paraId="5DE48DAC" w14:textId="77777777" w:rsidR="00F96EC7" w:rsidRPr="00F96EC7" w:rsidRDefault="00F96EC7" w:rsidP="00F96EC7">
      <w:pPr>
        <w:pStyle w:val="ListParagraph"/>
        <w:rPr>
          <w:rFonts w:ascii="Arial" w:hAnsi="Arial" w:cs="Arial"/>
        </w:rPr>
      </w:pPr>
    </w:p>
    <w:p w14:paraId="241BF31A" w14:textId="77777777" w:rsidR="00F96EC7" w:rsidRPr="00D47D3B" w:rsidRDefault="00F96EC7" w:rsidP="00CF4C28">
      <w:pPr>
        <w:pStyle w:val="ListParagraph"/>
        <w:numPr>
          <w:ilvl w:val="0"/>
          <w:numId w:val="4"/>
        </w:numPr>
        <w:rPr>
          <w:rFonts w:ascii="Arial" w:hAnsi="Arial" w:cs="Arial"/>
          <w:b/>
        </w:rPr>
      </w:pPr>
      <w:r>
        <w:rPr>
          <w:rFonts w:ascii="Arial" w:hAnsi="Arial" w:cs="Arial"/>
        </w:rPr>
        <w:t>Councils can access the PWLB (</w:t>
      </w:r>
      <w:r w:rsidR="00D9203B">
        <w:rPr>
          <w:rFonts w:ascii="Arial" w:hAnsi="Arial" w:cs="Arial"/>
        </w:rPr>
        <w:t>now the Debt Management Office)</w:t>
      </w:r>
      <w:r w:rsidR="00852797">
        <w:rPr>
          <w:rFonts w:ascii="Arial" w:hAnsi="Arial" w:cs="Arial"/>
        </w:rPr>
        <w:t xml:space="preserve"> and RSLs cannot. The PWLB charges at a small margin above UK Government Gilts – that is slightly higher than the </w:t>
      </w:r>
      <w:proofErr w:type="spellStart"/>
      <w:r w:rsidR="00852797">
        <w:rPr>
          <w:rFonts w:ascii="Arial" w:hAnsi="Arial" w:cs="Arial"/>
        </w:rPr>
        <w:t>UKGov</w:t>
      </w:r>
      <w:proofErr w:type="spellEnd"/>
      <w:r w:rsidR="00852797">
        <w:rPr>
          <w:rFonts w:ascii="Arial" w:hAnsi="Arial" w:cs="Arial"/>
        </w:rPr>
        <w:t xml:space="preserve"> itself borrows at. This is therefore not a bank lending rate and is consistently lower than the bank lending that most RSLs rely on </w:t>
      </w:r>
      <w:commentRangeStart w:id="16"/>
      <w:r w:rsidR="00852797">
        <w:rPr>
          <w:rFonts w:ascii="Arial" w:hAnsi="Arial" w:cs="Arial"/>
        </w:rPr>
        <w:t>(Bonds for the larger RSLs may get closer to this rate).</w:t>
      </w:r>
      <w:r w:rsidR="00D47D3B">
        <w:rPr>
          <w:rFonts w:ascii="Arial" w:hAnsi="Arial" w:cs="Arial"/>
        </w:rPr>
        <w:t xml:space="preserve"> </w:t>
      </w:r>
      <w:commentRangeEnd w:id="16"/>
      <w:r w:rsidR="006B7B9C">
        <w:rPr>
          <w:rStyle w:val="CommentReference"/>
        </w:rPr>
        <w:commentReference w:id="16"/>
      </w:r>
      <w:commentRangeStart w:id="17"/>
      <w:commentRangeStart w:id="18"/>
      <w:r w:rsidR="00D47D3B" w:rsidRPr="00D47D3B">
        <w:rPr>
          <w:rFonts w:ascii="Arial" w:hAnsi="Arial" w:cs="Arial"/>
          <w:b/>
        </w:rPr>
        <w:t>The revenue costs of borrowing are about 50% higher for RSLs</w:t>
      </w:r>
      <w:r w:rsidR="005B2320">
        <w:rPr>
          <w:rFonts w:ascii="Arial" w:hAnsi="Arial" w:cs="Arial"/>
          <w:b/>
        </w:rPr>
        <w:t xml:space="preserve"> than for councils (see Annex 1</w:t>
      </w:r>
      <w:r w:rsidR="00D47D3B" w:rsidRPr="00D47D3B">
        <w:rPr>
          <w:rFonts w:ascii="Arial" w:hAnsi="Arial" w:cs="Arial"/>
          <w:b/>
        </w:rPr>
        <w:t>).</w:t>
      </w:r>
      <w:commentRangeEnd w:id="17"/>
      <w:r w:rsidR="005C2421">
        <w:rPr>
          <w:rStyle w:val="CommentReference"/>
        </w:rPr>
        <w:commentReference w:id="17"/>
      </w:r>
      <w:commentRangeEnd w:id="18"/>
      <w:r w:rsidR="008D601F">
        <w:rPr>
          <w:rStyle w:val="CommentReference"/>
        </w:rPr>
        <w:commentReference w:id="18"/>
      </w:r>
    </w:p>
    <w:p w14:paraId="5F49EA56" w14:textId="77777777" w:rsidR="00852797" w:rsidRPr="00852797" w:rsidRDefault="00852797" w:rsidP="00852797">
      <w:pPr>
        <w:pStyle w:val="ListParagraph"/>
        <w:rPr>
          <w:rFonts w:ascii="Arial" w:hAnsi="Arial" w:cs="Arial"/>
        </w:rPr>
      </w:pPr>
    </w:p>
    <w:p w14:paraId="31AFC06E" w14:textId="77777777" w:rsidR="00852797" w:rsidRDefault="00852797" w:rsidP="00852797">
      <w:pPr>
        <w:rPr>
          <w:rFonts w:ascii="Arial" w:hAnsi="Arial" w:cs="Arial"/>
        </w:rPr>
      </w:pPr>
      <w:r>
        <w:rPr>
          <w:rFonts w:ascii="Arial" w:hAnsi="Arial" w:cs="Arial"/>
        </w:rPr>
        <w:t>9</w:t>
      </w:r>
      <w:r>
        <w:rPr>
          <w:rFonts w:ascii="Arial" w:hAnsi="Arial" w:cs="Arial"/>
        </w:rPr>
        <w:tab/>
      </w:r>
      <w:commentRangeStart w:id="19"/>
      <w:r>
        <w:rPr>
          <w:rFonts w:ascii="Arial" w:hAnsi="Arial" w:cs="Arial"/>
        </w:rPr>
        <w:t>A full analysis of the different financing regimes would be time-consuming and expensive. Such a study is not considered necessary because we are only talking about benchmarks and in that sense great precision is inappropriate</w:t>
      </w:r>
      <w:commentRangeEnd w:id="19"/>
      <w:r w:rsidR="006B7B9C">
        <w:rPr>
          <w:rStyle w:val="CommentReference"/>
        </w:rPr>
        <w:commentReference w:id="19"/>
      </w:r>
      <w:r>
        <w:rPr>
          <w:rFonts w:ascii="Arial" w:hAnsi="Arial" w:cs="Arial"/>
        </w:rPr>
        <w:t>. However, recognising that ALACHO has sought as much ev</w:t>
      </w:r>
      <w:r w:rsidR="002021B9">
        <w:rPr>
          <w:rFonts w:ascii="Arial" w:hAnsi="Arial" w:cs="Arial"/>
        </w:rPr>
        <w:t>idence as possible, Annex</w:t>
      </w:r>
      <w:r w:rsidR="005B2320">
        <w:rPr>
          <w:rFonts w:ascii="Arial" w:hAnsi="Arial" w:cs="Arial"/>
        </w:rPr>
        <w:t xml:space="preserve"> </w:t>
      </w:r>
      <w:r w:rsidR="002021B9">
        <w:rPr>
          <w:rFonts w:ascii="Arial" w:hAnsi="Arial" w:cs="Arial"/>
        </w:rPr>
        <w:t>1</w:t>
      </w:r>
      <w:r>
        <w:rPr>
          <w:rFonts w:ascii="Arial" w:hAnsi="Arial" w:cs="Arial"/>
        </w:rPr>
        <w:t xml:space="preserve"> to this paper contains some more specific analysis to support the above general evidence.</w:t>
      </w:r>
    </w:p>
    <w:p w14:paraId="3E7617F9" w14:textId="77777777" w:rsidR="00852797" w:rsidRDefault="00852797" w:rsidP="00852797">
      <w:pPr>
        <w:rPr>
          <w:rFonts w:ascii="Arial" w:hAnsi="Arial" w:cs="Arial"/>
        </w:rPr>
      </w:pPr>
    </w:p>
    <w:p w14:paraId="53828765" w14:textId="77777777" w:rsidR="00852797" w:rsidRPr="00852797" w:rsidRDefault="00852797" w:rsidP="00852797">
      <w:pPr>
        <w:rPr>
          <w:rFonts w:ascii="Arial" w:hAnsi="Arial" w:cs="Arial"/>
          <w:u w:val="single"/>
        </w:rPr>
      </w:pPr>
      <w:r w:rsidRPr="00852797">
        <w:rPr>
          <w:rFonts w:ascii="Arial" w:hAnsi="Arial" w:cs="Arial"/>
          <w:u w:val="single"/>
        </w:rPr>
        <w:t>Conclusion</w:t>
      </w:r>
    </w:p>
    <w:p w14:paraId="519102A9" w14:textId="77777777" w:rsidR="00852797" w:rsidRDefault="00852797" w:rsidP="00852797">
      <w:pPr>
        <w:rPr>
          <w:rFonts w:ascii="Arial" w:hAnsi="Arial" w:cs="Arial"/>
        </w:rPr>
      </w:pPr>
    </w:p>
    <w:p w14:paraId="431FE67C" w14:textId="77777777" w:rsidR="00852797" w:rsidRDefault="00852797" w:rsidP="00852797">
      <w:pPr>
        <w:rPr>
          <w:rFonts w:ascii="Arial" w:hAnsi="Arial" w:cs="Arial"/>
        </w:rPr>
      </w:pPr>
      <w:r>
        <w:rPr>
          <w:rFonts w:ascii="Arial" w:hAnsi="Arial" w:cs="Arial"/>
        </w:rPr>
        <w:t>10</w:t>
      </w:r>
      <w:r>
        <w:rPr>
          <w:rFonts w:ascii="Arial" w:hAnsi="Arial" w:cs="Arial"/>
        </w:rPr>
        <w:tab/>
      </w:r>
      <w:commentRangeStart w:id="20"/>
      <w:r>
        <w:rPr>
          <w:rFonts w:ascii="Arial" w:hAnsi="Arial" w:cs="Arial"/>
        </w:rPr>
        <w:t xml:space="preserve">The evidence suggests that councils </w:t>
      </w:r>
      <w:proofErr w:type="gramStart"/>
      <w:r>
        <w:rPr>
          <w:rFonts w:ascii="Arial" w:hAnsi="Arial" w:cs="Arial"/>
        </w:rPr>
        <w:t>are able to</w:t>
      </w:r>
      <w:proofErr w:type="gramEnd"/>
      <w:r>
        <w:rPr>
          <w:rFonts w:ascii="Arial" w:hAnsi="Arial" w:cs="Arial"/>
        </w:rPr>
        <w:t xml:space="preserve"> access cheaper borrowing than RSLs and in a much more straightforward manner</w:t>
      </w:r>
      <w:commentRangeEnd w:id="20"/>
      <w:r w:rsidR="00F56BBA">
        <w:rPr>
          <w:rStyle w:val="CommentReference"/>
        </w:rPr>
        <w:commentReference w:id="20"/>
      </w:r>
      <w:r>
        <w:rPr>
          <w:rFonts w:ascii="Arial" w:hAnsi="Arial" w:cs="Arial"/>
        </w:rPr>
        <w:t xml:space="preserve">. </w:t>
      </w:r>
      <w:commentRangeStart w:id="21"/>
      <w:r>
        <w:rPr>
          <w:rFonts w:ascii="Arial" w:hAnsi="Arial" w:cs="Arial"/>
        </w:rPr>
        <w:t>This, combined with the different financial nature of the two sectors and the fact that most councils are currently applying for grant at or below benchmark demonstrates that the proposal from the SG is a reasonable one.</w:t>
      </w:r>
      <w:commentRangeEnd w:id="21"/>
      <w:r w:rsidR="00F56BBA">
        <w:rPr>
          <w:rStyle w:val="CommentReference"/>
        </w:rPr>
        <w:commentReference w:id="21"/>
      </w:r>
      <w:r>
        <w:rPr>
          <w:rFonts w:ascii="Arial" w:hAnsi="Arial" w:cs="Arial"/>
        </w:rPr>
        <w:t xml:space="preserve"> Partners have committed to monitoring the operation of the benchmarks and to review them annually. This offers reassurance that </w:t>
      </w:r>
      <w:r w:rsidR="00D47D3B">
        <w:rPr>
          <w:rFonts w:ascii="Arial" w:hAnsi="Arial" w:cs="Arial"/>
        </w:rPr>
        <w:t>if a further correction is needed, then that can be considered.</w:t>
      </w:r>
    </w:p>
    <w:p w14:paraId="39D9FBC3" w14:textId="77777777" w:rsidR="00D47D3B" w:rsidRDefault="00D47D3B" w:rsidP="00852797">
      <w:pPr>
        <w:rPr>
          <w:rFonts w:ascii="Arial" w:hAnsi="Arial" w:cs="Arial"/>
        </w:rPr>
      </w:pPr>
    </w:p>
    <w:p w14:paraId="7A9C4413" w14:textId="77777777" w:rsidR="00D47D3B" w:rsidRPr="00852797" w:rsidRDefault="00D47D3B" w:rsidP="00852797">
      <w:pPr>
        <w:rPr>
          <w:rFonts w:ascii="Arial" w:hAnsi="Arial" w:cs="Arial"/>
        </w:rPr>
      </w:pPr>
      <w:commentRangeStart w:id="22"/>
      <w:commentRangeStart w:id="23"/>
      <w:r>
        <w:rPr>
          <w:rFonts w:ascii="Arial" w:hAnsi="Arial" w:cs="Arial"/>
        </w:rPr>
        <w:t>11</w:t>
      </w:r>
      <w:r>
        <w:rPr>
          <w:rFonts w:ascii="Arial" w:hAnsi="Arial" w:cs="Arial"/>
        </w:rPr>
        <w:tab/>
        <w:t>All partners should now coalesce around this proposal and work jointly to present it to Leaders and Min</w:t>
      </w:r>
      <w:r w:rsidR="008F4C5F">
        <w:rPr>
          <w:rFonts w:ascii="Arial" w:hAnsi="Arial" w:cs="Arial"/>
        </w:rPr>
        <w:t>i</w:t>
      </w:r>
      <w:r>
        <w:rPr>
          <w:rFonts w:ascii="Arial" w:hAnsi="Arial" w:cs="Arial"/>
        </w:rPr>
        <w:t>sters in the most effective way.</w:t>
      </w:r>
      <w:commentRangeEnd w:id="22"/>
      <w:r w:rsidR="0099320C">
        <w:rPr>
          <w:rStyle w:val="CommentReference"/>
        </w:rPr>
        <w:commentReference w:id="22"/>
      </w:r>
      <w:commentRangeEnd w:id="23"/>
      <w:r w:rsidR="005774B8">
        <w:rPr>
          <w:rStyle w:val="CommentReference"/>
        </w:rPr>
        <w:commentReference w:id="23"/>
      </w:r>
    </w:p>
    <w:p w14:paraId="57EC7DBE" w14:textId="77777777" w:rsidR="00D9171E" w:rsidRPr="00E13521" w:rsidRDefault="00D9171E" w:rsidP="00E13521">
      <w:pPr>
        <w:rPr>
          <w:rFonts w:ascii="Arial" w:hAnsi="Arial" w:cs="Arial"/>
        </w:rPr>
      </w:pPr>
      <w:r w:rsidRPr="00E13521">
        <w:rPr>
          <w:rFonts w:ascii="Arial" w:hAnsi="Arial" w:cs="Arial"/>
        </w:rPr>
        <w:br w:type="page"/>
      </w:r>
    </w:p>
    <w:p w14:paraId="26A0D125" w14:textId="77777777" w:rsidR="002021B9" w:rsidRDefault="002021B9">
      <w:pPr>
        <w:rPr>
          <w:rFonts w:ascii="Arial" w:hAnsi="Arial" w:cs="Arial"/>
          <w:u w:val="single"/>
        </w:rPr>
      </w:pPr>
      <w:r>
        <w:rPr>
          <w:rFonts w:ascii="Arial" w:hAnsi="Arial" w:cs="Arial"/>
          <w:u w:val="single"/>
        </w:rPr>
        <w:lastRenderedPageBreak/>
        <w:t>Annex 1: More detail on relative borrowing costs for councils and RSLs</w:t>
      </w:r>
    </w:p>
    <w:p w14:paraId="02843A3C" w14:textId="77777777" w:rsidR="002021B9" w:rsidRDefault="002021B9">
      <w:pPr>
        <w:rPr>
          <w:rFonts w:ascii="Arial" w:hAnsi="Arial" w:cs="Arial"/>
          <w:u w:val="single"/>
        </w:rPr>
      </w:pPr>
    </w:p>
    <w:p w14:paraId="25BAAF58" w14:textId="77777777" w:rsidR="00D9171E" w:rsidRPr="002021B9" w:rsidRDefault="002021B9">
      <w:pPr>
        <w:rPr>
          <w:rFonts w:ascii="Arial" w:hAnsi="Arial" w:cs="Arial"/>
        </w:rPr>
      </w:pPr>
      <w:r>
        <w:rPr>
          <w:rFonts w:ascii="Arial" w:hAnsi="Arial" w:cs="Arial"/>
        </w:rPr>
        <w:t>1</w:t>
      </w:r>
      <w:r>
        <w:rPr>
          <w:rFonts w:ascii="Arial" w:hAnsi="Arial" w:cs="Arial"/>
        </w:rPr>
        <w:tab/>
      </w:r>
      <w:r w:rsidR="00D9171E" w:rsidRPr="002021B9">
        <w:rPr>
          <w:rFonts w:ascii="Arial" w:hAnsi="Arial" w:cs="Arial"/>
          <w:u w:val="single"/>
        </w:rPr>
        <w:t>Comparison of borrowing costs</w:t>
      </w:r>
    </w:p>
    <w:p w14:paraId="05E58882" w14:textId="77777777" w:rsidR="00D9171E" w:rsidRDefault="00D9171E">
      <w:pPr>
        <w:rPr>
          <w:rFonts w:ascii="Arial" w:hAnsi="Arial" w:cs="Arial"/>
        </w:rPr>
      </w:pPr>
    </w:p>
    <w:p w14:paraId="51B29CEC" w14:textId="77777777" w:rsidR="00D9171E" w:rsidRDefault="00D9171E">
      <w:pPr>
        <w:rPr>
          <w:rFonts w:ascii="Arial" w:hAnsi="Arial" w:cs="Arial"/>
        </w:rPr>
      </w:pPr>
      <w:r>
        <w:rPr>
          <w:rFonts w:ascii="Arial" w:hAnsi="Arial" w:cs="Arial"/>
        </w:rPr>
        <w:t>Interest rates for RSLs are published in the SHR’s Annual Loan Portfolio Returns</w:t>
      </w:r>
      <w:r w:rsidR="008F4C5F">
        <w:rPr>
          <w:rFonts w:ascii="Arial" w:hAnsi="Arial" w:cs="Arial"/>
        </w:rPr>
        <w:t xml:space="preserve"> (Technical Appendix) and show </w:t>
      </w:r>
      <w:r>
        <w:rPr>
          <w:rFonts w:ascii="Arial" w:hAnsi="Arial" w:cs="Arial"/>
        </w:rPr>
        <w:t>the median f</w:t>
      </w:r>
      <w:r w:rsidR="008F4C5F">
        <w:rPr>
          <w:rFonts w:ascii="Arial" w:hAnsi="Arial" w:cs="Arial"/>
        </w:rPr>
        <w:t>or new loans fixed rate lending</w:t>
      </w:r>
      <w:r>
        <w:rPr>
          <w:rFonts w:ascii="Arial" w:hAnsi="Arial" w:cs="Arial"/>
        </w:rPr>
        <w:t xml:space="preserve"> as follows;</w:t>
      </w:r>
    </w:p>
    <w:p w14:paraId="4C3ADE54" w14:textId="77777777" w:rsidR="00D9171E" w:rsidRDefault="00D9171E">
      <w:pPr>
        <w:rPr>
          <w:rFonts w:ascii="Arial" w:hAnsi="Arial" w:cs="Arial"/>
        </w:rPr>
      </w:pPr>
    </w:p>
    <w:tbl>
      <w:tblPr>
        <w:tblStyle w:val="TableGrid"/>
        <w:tblW w:w="0" w:type="auto"/>
        <w:tblLook w:val="04A0" w:firstRow="1" w:lastRow="0" w:firstColumn="1" w:lastColumn="0" w:noHBand="0" w:noVBand="1"/>
      </w:tblPr>
      <w:tblGrid>
        <w:gridCol w:w="1696"/>
        <w:gridCol w:w="1843"/>
      </w:tblGrid>
      <w:tr w:rsidR="00D9171E" w14:paraId="64699747" w14:textId="77777777" w:rsidTr="007D2AEF">
        <w:tc>
          <w:tcPr>
            <w:tcW w:w="1696" w:type="dxa"/>
          </w:tcPr>
          <w:p w14:paraId="09701921" w14:textId="77777777" w:rsidR="00D9171E" w:rsidRDefault="00D9171E">
            <w:pPr>
              <w:rPr>
                <w:rFonts w:ascii="Arial" w:hAnsi="Arial" w:cs="Arial"/>
              </w:rPr>
            </w:pPr>
            <w:r>
              <w:rPr>
                <w:rFonts w:ascii="Arial" w:hAnsi="Arial" w:cs="Arial"/>
              </w:rPr>
              <w:t>2017/18</w:t>
            </w:r>
          </w:p>
        </w:tc>
        <w:tc>
          <w:tcPr>
            <w:tcW w:w="1843" w:type="dxa"/>
          </w:tcPr>
          <w:p w14:paraId="2C80CDF2" w14:textId="77777777" w:rsidR="00D9171E" w:rsidRDefault="00D9171E">
            <w:pPr>
              <w:rPr>
                <w:rFonts w:ascii="Arial" w:hAnsi="Arial" w:cs="Arial"/>
              </w:rPr>
            </w:pPr>
            <w:r>
              <w:rPr>
                <w:rFonts w:ascii="Arial" w:hAnsi="Arial" w:cs="Arial"/>
              </w:rPr>
              <w:t>3.64%</w:t>
            </w:r>
          </w:p>
        </w:tc>
      </w:tr>
      <w:tr w:rsidR="00D9171E" w14:paraId="2E2D26CA" w14:textId="77777777" w:rsidTr="007D2AEF">
        <w:tc>
          <w:tcPr>
            <w:tcW w:w="1696" w:type="dxa"/>
          </w:tcPr>
          <w:p w14:paraId="41DD5AE1" w14:textId="77777777" w:rsidR="00D9171E" w:rsidRDefault="00D9171E">
            <w:pPr>
              <w:rPr>
                <w:rFonts w:ascii="Arial" w:hAnsi="Arial" w:cs="Arial"/>
              </w:rPr>
            </w:pPr>
            <w:r>
              <w:rPr>
                <w:rFonts w:ascii="Arial" w:hAnsi="Arial" w:cs="Arial"/>
              </w:rPr>
              <w:t>2018/19</w:t>
            </w:r>
          </w:p>
        </w:tc>
        <w:tc>
          <w:tcPr>
            <w:tcW w:w="1843" w:type="dxa"/>
          </w:tcPr>
          <w:p w14:paraId="63F44CA4" w14:textId="77777777" w:rsidR="00D9171E" w:rsidRDefault="00D9171E">
            <w:pPr>
              <w:rPr>
                <w:rFonts w:ascii="Arial" w:hAnsi="Arial" w:cs="Arial"/>
              </w:rPr>
            </w:pPr>
            <w:r w:rsidRPr="007D2AEF">
              <w:rPr>
                <w:rFonts w:ascii="Arial" w:hAnsi="Arial" w:cs="Arial"/>
              </w:rPr>
              <w:t>3.</w:t>
            </w:r>
            <w:commentRangeStart w:id="24"/>
            <w:r w:rsidRPr="007D2AEF">
              <w:rPr>
                <w:rFonts w:ascii="Arial" w:hAnsi="Arial" w:cs="Arial"/>
              </w:rPr>
              <w:t>72</w:t>
            </w:r>
            <w:commentRangeEnd w:id="24"/>
            <w:r w:rsidR="0036736A">
              <w:rPr>
                <w:rStyle w:val="CommentReference"/>
              </w:rPr>
              <w:commentReference w:id="24"/>
            </w:r>
            <w:r w:rsidRPr="007D2AEF">
              <w:rPr>
                <w:rFonts w:ascii="Arial" w:hAnsi="Arial" w:cs="Arial"/>
              </w:rPr>
              <w:t>%</w:t>
            </w:r>
          </w:p>
        </w:tc>
      </w:tr>
      <w:tr w:rsidR="00D9171E" w14:paraId="4075D22D" w14:textId="77777777" w:rsidTr="007D2AEF">
        <w:tc>
          <w:tcPr>
            <w:tcW w:w="1696" w:type="dxa"/>
          </w:tcPr>
          <w:p w14:paraId="1535ECDA" w14:textId="77777777" w:rsidR="00D9171E" w:rsidRDefault="00D9171E">
            <w:pPr>
              <w:rPr>
                <w:rFonts w:ascii="Arial" w:hAnsi="Arial" w:cs="Arial"/>
              </w:rPr>
            </w:pPr>
            <w:r>
              <w:rPr>
                <w:rFonts w:ascii="Arial" w:hAnsi="Arial" w:cs="Arial"/>
              </w:rPr>
              <w:t>2019/20</w:t>
            </w:r>
          </w:p>
        </w:tc>
        <w:tc>
          <w:tcPr>
            <w:tcW w:w="1843" w:type="dxa"/>
          </w:tcPr>
          <w:p w14:paraId="50CC1606" w14:textId="77777777" w:rsidR="00D9171E" w:rsidRDefault="00DF0384">
            <w:pPr>
              <w:rPr>
                <w:rFonts w:ascii="Arial" w:hAnsi="Arial" w:cs="Arial"/>
              </w:rPr>
            </w:pPr>
            <w:r w:rsidRPr="007D2AEF">
              <w:rPr>
                <w:rFonts w:ascii="Arial" w:hAnsi="Arial" w:cs="Arial"/>
                <w:color w:val="FF0000"/>
              </w:rPr>
              <w:t>2.</w:t>
            </w:r>
            <w:commentRangeStart w:id="25"/>
            <w:r w:rsidRPr="007D2AEF">
              <w:rPr>
                <w:rFonts w:ascii="Arial" w:hAnsi="Arial" w:cs="Arial"/>
                <w:color w:val="FF0000"/>
              </w:rPr>
              <w:t>80</w:t>
            </w:r>
            <w:commentRangeEnd w:id="25"/>
            <w:r w:rsidR="0036736A">
              <w:rPr>
                <w:rStyle w:val="CommentReference"/>
              </w:rPr>
              <w:commentReference w:id="25"/>
            </w:r>
            <w:r w:rsidR="007D2AEF" w:rsidRPr="007D2AEF">
              <w:rPr>
                <w:rFonts w:ascii="Arial" w:hAnsi="Arial" w:cs="Arial"/>
                <w:color w:val="FF0000"/>
              </w:rPr>
              <w:t>%</w:t>
            </w:r>
            <w:r w:rsidRPr="007D2AEF">
              <w:rPr>
                <w:rFonts w:ascii="Arial" w:hAnsi="Arial" w:cs="Arial"/>
                <w:color w:val="FF0000"/>
              </w:rPr>
              <w:t xml:space="preserve"> </w:t>
            </w:r>
            <w:r>
              <w:rPr>
                <w:rFonts w:ascii="Arial" w:hAnsi="Arial" w:cs="Arial"/>
              </w:rPr>
              <w:t>(</w:t>
            </w:r>
            <w:r w:rsidR="00D9171E">
              <w:rPr>
                <w:rFonts w:ascii="Arial" w:hAnsi="Arial" w:cs="Arial"/>
              </w:rPr>
              <w:t>Not yet published</w:t>
            </w:r>
            <w:r>
              <w:rPr>
                <w:rFonts w:ascii="Arial" w:hAnsi="Arial" w:cs="Arial"/>
              </w:rPr>
              <w:t>)</w:t>
            </w:r>
          </w:p>
        </w:tc>
      </w:tr>
    </w:tbl>
    <w:p w14:paraId="030CD4B4" w14:textId="77777777" w:rsidR="00D9171E" w:rsidRDefault="00D9171E">
      <w:pPr>
        <w:rPr>
          <w:rFonts w:ascii="Arial" w:hAnsi="Arial" w:cs="Arial"/>
        </w:rPr>
      </w:pPr>
    </w:p>
    <w:p w14:paraId="1E48B464" w14:textId="77777777" w:rsidR="00D9171E" w:rsidRDefault="00D9171E">
      <w:pPr>
        <w:rPr>
          <w:rFonts w:ascii="Arial" w:hAnsi="Arial" w:cs="Arial"/>
        </w:rPr>
      </w:pPr>
      <w:r>
        <w:rPr>
          <w:rFonts w:ascii="Arial" w:hAnsi="Arial" w:cs="Arial"/>
        </w:rPr>
        <w:t>Interest rates for councils (formerly known as PWLB) are published by the UK Debt Management Office</w:t>
      </w:r>
      <w:r w:rsidR="007D7BC6">
        <w:rPr>
          <w:rFonts w:ascii="Arial" w:hAnsi="Arial" w:cs="Arial"/>
        </w:rPr>
        <w:t xml:space="preserve"> (DMO)</w:t>
      </w:r>
      <w:r>
        <w:rPr>
          <w:rFonts w:ascii="Arial" w:hAnsi="Arial" w:cs="Arial"/>
        </w:rPr>
        <w:t xml:space="preserve"> and the March 2020 figures were;</w:t>
      </w:r>
    </w:p>
    <w:p w14:paraId="663D203E" w14:textId="77777777" w:rsidR="00D9171E" w:rsidRDefault="00D9171E">
      <w:pPr>
        <w:rPr>
          <w:rFonts w:ascii="Arial" w:hAnsi="Arial" w:cs="Arial"/>
        </w:rPr>
      </w:pPr>
    </w:p>
    <w:tbl>
      <w:tblPr>
        <w:tblStyle w:val="TableGrid"/>
        <w:tblW w:w="0" w:type="auto"/>
        <w:tblLook w:val="04A0" w:firstRow="1" w:lastRow="0" w:firstColumn="1" w:lastColumn="0" w:noHBand="0" w:noVBand="1"/>
      </w:tblPr>
      <w:tblGrid>
        <w:gridCol w:w="1696"/>
        <w:gridCol w:w="1701"/>
      </w:tblGrid>
      <w:tr w:rsidR="00D9171E" w14:paraId="698E8CB7" w14:textId="77777777" w:rsidTr="00D9171E">
        <w:tc>
          <w:tcPr>
            <w:tcW w:w="1696" w:type="dxa"/>
          </w:tcPr>
          <w:p w14:paraId="520AD90B" w14:textId="77777777" w:rsidR="00D9171E" w:rsidRDefault="00D9171E">
            <w:pPr>
              <w:rPr>
                <w:rFonts w:ascii="Arial" w:hAnsi="Arial" w:cs="Arial"/>
              </w:rPr>
            </w:pPr>
            <w:r>
              <w:rPr>
                <w:rFonts w:ascii="Arial" w:hAnsi="Arial" w:cs="Arial"/>
              </w:rPr>
              <w:t>30 years</w:t>
            </w:r>
          </w:p>
        </w:tc>
        <w:tc>
          <w:tcPr>
            <w:tcW w:w="1701" w:type="dxa"/>
          </w:tcPr>
          <w:p w14:paraId="053551C4" w14:textId="77777777" w:rsidR="00D9171E" w:rsidRDefault="00E752E3">
            <w:pPr>
              <w:rPr>
                <w:rFonts w:ascii="Arial" w:hAnsi="Arial" w:cs="Arial"/>
              </w:rPr>
            </w:pPr>
            <w:r w:rsidRPr="00E752E3">
              <w:rPr>
                <w:rFonts w:ascii="Arial" w:hAnsi="Arial" w:cs="Arial"/>
                <w:color w:val="FF0000"/>
              </w:rPr>
              <w:t>1.96</w:t>
            </w:r>
            <w:r w:rsidR="00D9171E" w:rsidRPr="00E752E3">
              <w:rPr>
                <w:rFonts w:ascii="Arial" w:hAnsi="Arial" w:cs="Arial"/>
                <w:color w:val="FF0000"/>
              </w:rPr>
              <w:t>%</w:t>
            </w:r>
            <w:r w:rsidRPr="00E752E3">
              <w:rPr>
                <w:rStyle w:val="FootnoteReference"/>
                <w:rFonts w:ascii="Arial" w:hAnsi="Arial" w:cs="Arial"/>
                <w:color w:val="FF0000"/>
              </w:rPr>
              <w:footnoteReference w:id="2"/>
            </w:r>
          </w:p>
        </w:tc>
      </w:tr>
      <w:tr w:rsidR="00D9171E" w14:paraId="5BFE2D47" w14:textId="77777777" w:rsidTr="00D9171E">
        <w:tc>
          <w:tcPr>
            <w:tcW w:w="1696" w:type="dxa"/>
          </w:tcPr>
          <w:p w14:paraId="1CB93162" w14:textId="77777777" w:rsidR="00D9171E" w:rsidRDefault="00D9171E">
            <w:pPr>
              <w:rPr>
                <w:rFonts w:ascii="Arial" w:hAnsi="Arial" w:cs="Arial"/>
              </w:rPr>
            </w:pPr>
            <w:r>
              <w:rPr>
                <w:rFonts w:ascii="Arial" w:hAnsi="Arial" w:cs="Arial"/>
              </w:rPr>
              <w:t>20 years</w:t>
            </w:r>
          </w:p>
        </w:tc>
        <w:tc>
          <w:tcPr>
            <w:tcW w:w="1701" w:type="dxa"/>
          </w:tcPr>
          <w:p w14:paraId="07A83B78" w14:textId="77777777" w:rsidR="00D9171E" w:rsidRDefault="00D9171E">
            <w:pPr>
              <w:rPr>
                <w:rFonts w:ascii="Arial" w:hAnsi="Arial" w:cs="Arial"/>
              </w:rPr>
            </w:pPr>
            <w:r w:rsidRPr="00E752E3">
              <w:rPr>
                <w:rFonts w:ascii="Arial" w:hAnsi="Arial" w:cs="Arial"/>
              </w:rPr>
              <w:t>1.88%</w:t>
            </w:r>
          </w:p>
        </w:tc>
      </w:tr>
      <w:tr w:rsidR="00D9171E" w14:paraId="67FB7B1C" w14:textId="77777777" w:rsidTr="00D9171E">
        <w:tc>
          <w:tcPr>
            <w:tcW w:w="1696" w:type="dxa"/>
          </w:tcPr>
          <w:p w14:paraId="411BEFF5" w14:textId="77777777" w:rsidR="00D9171E" w:rsidRDefault="00D9171E">
            <w:pPr>
              <w:rPr>
                <w:rFonts w:ascii="Arial" w:hAnsi="Arial" w:cs="Arial"/>
              </w:rPr>
            </w:pPr>
            <w:r>
              <w:rPr>
                <w:rFonts w:ascii="Arial" w:hAnsi="Arial" w:cs="Arial"/>
              </w:rPr>
              <w:t>10 years</w:t>
            </w:r>
          </w:p>
        </w:tc>
        <w:tc>
          <w:tcPr>
            <w:tcW w:w="1701" w:type="dxa"/>
          </w:tcPr>
          <w:p w14:paraId="67D16ACF" w14:textId="77777777" w:rsidR="00D9171E" w:rsidRDefault="00D9171E">
            <w:pPr>
              <w:rPr>
                <w:rFonts w:ascii="Arial" w:hAnsi="Arial" w:cs="Arial"/>
              </w:rPr>
            </w:pPr>
            <w:r>
              <w:rPr>
                <w:rFonts w:ascii="Arial" w:hAnsi="Arial" w:cs="Arial"/>
              </w:rPr>
              <w:t>1.38%</w:t>
            </w:r>
          </w:p>
        </w:tc>
      </w:tr>
    </w:tbl>
    <w:p w14:paraId="35AEE14D" w14:textId="77777777" w:rsidR="00D9171E" w:rsidRDefault="00D9171E">
      <w:pPr>
        <w:rPr>
          <w:rFonts w:ascii="Arial" w:hAnsi="Arial" w:cs="Arial"/>
        </w:rPr>
      </w:pPr>
    </w:p>
    <w:p w14:paraId="110611AE" w14:textId="77777777" w:rsidR="00E97AA9" w:rsidRDefault="007D2AEF">
      <w:pPr>
        <w:rPr>
          <w:rFonts w:ascii="Arial" w:hAnsi="Arial" w:cs="Arial"/>
        </w:rPr>
      </w:pPr>
      <w:r>
        <w:rPr>
          <w:rFonts w:ascii="Arial" w:hAnsi="Arial" w:cs="Arial"/>
        </w:rPr>
        <w:t>RSLs typically ha</w:t>
      </w:r>
      <w:r w:rsidR="00E752E3">
        <w:rPr>
          <w:rFonts w:ascii="Arial" w:hAnsi="Arial" w:cs="Arial"/>
        </w:rPr>
        <w:t>ve a ‘revolving credit facility’</w:t>
      </w:r>
      <w:r>
        <w:rPr>
          <w:rFonts w:ascii="Arial" w:hAnsi="Arial" w:cs="Arial"/>
        </w:rPr>
        <w:t xml:space="preserve"> of, say, 3 years which is drawn down and repaid as individual needs arise</w:t>
      </w:r>
      <w:r w:rsidR="0054195C">
        <w:rPr>
          <w:rFonts w:ascii="Arial" w:hAnsi="Arial" w:cs="Arial"/>
        </w:rPr>
        <w:t xml:space="preserve"> during development</w:t>
      </w:r>
      <w:r>
        <w:rPr>
          <w:rFonts w:ascii="Arial" w:hAnsi="Arial" w:cs="Arial"/>
        </w:rPr>
        <w:t xml:space="preserve">. They then have longer term financing which is reviewed periodically. The flexibility of these longer-term arrangements varies over time and </w:t>
      </w:r>
      <w:r w:rsidR="00C27F7E">
        <w:rPr>
          <w:rFonts w:ascii="Arial" w:hAnsi="Arial" w:cs="Arial"/>
        </w:rPr>
        <w:t xml:space="preserve">is </w:t>
      </w:r>
      <w:r>
        <w:rPr>
          <w:rFonts w:ascii="Arial" w:hAnsi="Arial" w:cs="Arial"/>
        </w:rPr>
        <w:t xml:space="preserve">seen as good just now. Back in 2009, banks only offered short term </w:t>
      </w:r>
      <w:commentRangeStart w:id="26"/>
      <w:r>
        <w:rPr>
          <w:rFonts w:ascii="Arial" w:hAnsi="Arial" w:cs="Arial"/>
        </w:rPr>
        <w:t>deals</w:t>
      </w:r>
      <w:commentRangeEnd w:id="26"/>
      <w:r w:rsidR="005D2A02">
        <w:rPr>
          <w:rStyle w:val="CommentReference"/>
        </w:rPr>
        <w:commentReference w:id="26"/>
      </w:r>
      <w:r>
        <w:rPr>
          <w:rFonts w:ascii="Arial" w:hAnsi="Arial" w:cs="Arial"/>
        </w:rPr>
        <w:t xml:space="preserve">. </w:t>
      </w:r>
      <w:r w:rsidR="00D47D3B">
        <w:rPr>
          <w:rFonts w:ascii="Arial" w:hAnsi="Arial" w:cs="Arial"/>
        </w:rPr>
        <w:t>However, e</w:t>
      </w:r>
      <w:r>
        <w:rPr>
          <w:rFonts w:ascii="Arial" w:hAnsi="Arial" w:cs="Arial"/>
        </w:rPr>
        <w:t>ven at present, few RSLs can access 30-year fixed term rates and 15 or 20</w:t>
      </w:r>
      <w:r w:rsidR="008C6AAF">
        <w:rPr>
          <w:rFonts w:ascii="Arial" w:hAnsi="Arial" w:cs="Arial"/>
        </w:rPr>
        <w:t xml:space="preserve"> years</w:t>
      </w:r>
      <w:r>
        <w:rPr>
          <w:rFonts w:ascii="Arial" w:hAnsi="Arial" w:cs="Arial"/>
        </w:rPr>
        <w:t xml:space="preserve"> is more typical. By way of comparison, the figure of 2.8% for RSLs is highlighted in </w:t>
      </w:r>
      <w:r>
        <w:rPr>
          <w:rFonts w:ascii="Arial" w:hAnsi="Arial" w:cs="Arial"/>
          <w:color w:val="FF0000"/>
        </w:rPr>
        <w:t>red</w:t>
      </w:r>
      <w:r w:rsidR="00E752E3">
        <w:rPr>
          <w:rFonts w:ascii="Arial" w:hAnsi="Arial" w:cs="Arial"/>
        </w:rPr>
        <w:t>, as is the 1.96</w:t>
      </w:r>
      <w:r>
        <w:rPr>
          <w:rFonts w:ascii="Arial" w:hAnsi="Arial" w:cs="Arial"/>
        </w:rPr>
        <w:t>% for co</w:t>
      </w:r>
      <w:r w:rsidR="00E752E3">
        <w:rPr>
          <w:rFonts w:ascii="Arial" w:hAnsi="Arial" w:cs="Arial"/>
        </w:rPr>
        <w:t>uncils – a difference of about 0.85% for the lowest rates.</w:t>
      </w:r>
      <w:r w:rsidR="00C27F7E">
        <w:rPr>
          <w:rFonts w:ascii="Arial" w:hAnsi="Arial" w:cs="Arial"/>
        </w:rPr>
        <w:t xml:space="preserve"> </w:t>
      </w:r>
      <w:r w:rsidR="00E752E3">
        <w:rPr>
          <w:rFonts w:ascii="Arial" w:hAnsi="Arial" w:cs="Arial"/>
          <w:b/>
        </w:rPr>
        <w:t>This difference equates to nearly</w:t>
      </w:r>
      <w:r w:rsidR="00C27F7E" w:rsidRPr="00C27F7E">
        <w:rPr>
          <w:rFonts w:ascii="Arial" w:hAnsi="Arial" w:cs="Arial"/>
          <w:b/>
        </w:rPr>
        <w:t xml:space="preserve"> 50% </w:t>
      </w:r>
      <w:r w:rsidR="00C161BF">
        <w:rPr>
          <w:rFonts w:ascii="Arial" w:hAnsi="Arial" w:cs="Arial"/>
          <w:b/>
        </w:rPr>
        <w:t>higher</w:t>
      </w:r>
      <w:r w:rsidR="00C27F7E" w:rsidRPr="00C27F7E">
        <w:rPr>
          <w:rFonts w:ascii="Arial" w:hAnsi="Arial" w:cs="Arial"/>
          <w:b/>
        </w:rPr>
        <w:t xml:space="preserve"> borrowing</w:t>
      </w:r>
      <w:r w:rsidR="00C161BF">
        <w:rPr>
          <w:rFonts w:ascii="Arial" w:hAnsi="Arial" w:cs="Arial"/>
          <w:b/>
        </w:rPr>
        <w:t xml:space="preserve"> costs</w:t>
      </w:r>
      <w:r w:rsidR="00C27F7E" w:rsidRPr="00C27F7E">
        <w:rPr>
          <w:rFonts w:ascii="Arial" w:hAnsi="Arial" w:cs="Arial"/>
          <w:b/>
        </w:rPr>
        <w:t xml:space="preserve"> for </w:t>
      </w:r>
      <w:r w:rsidR="00C161BF">
        <w:rPr>
          <w:rFonts w:ascii="Arial" w:hAnsi="Arial" w:cs="Arial"/>
          <w:b/>
        </w:rPr>
        <w:t>RSLs</w:t>
      </w:r>
      <w:r w:rsidR="00C27F7E">
        <w:rPr>
          <w:rFonts w:ascii="Arial" w:hAnsi="Arial" w:cs="Arial"/>
        </w:rPr>
        <w:t xml:space="preserve"> (the revenue costs of borrowing at 3% will be about 50% higher than borrowing at 2% as per the following </w:t>
      </w:r>
      <w:r w:rsidR="00E752E3">
        <w:rPr>
          <w:rFonts w:ascii="Arial" w:hAnsi="Arial" w:cs="Arial"/>
        </w:rPr>
        <w:t>example)</w:t>
      </w:r>
      <w:r w:rsidR="00C27F7E">
        <w:rPr>
          <w:rFonts w:ascii="Arial" w:hAnsi="Arial" w:cs="Arial"/>
        </w:rPr>
        <w:t>;</w:t>
      </w:r>
    </w:p>
    <w:p w14:paraId="30E0F75C" w14:textId="77777777" w:rsidR="00C27F7E" w:rsidRDefault="00C27F7E">
      <w:pPr>
        <w:rPr>
          <w:rFonts w:ascii="Arial" w:hAnsi="Arial" w:cs="Arial"/>
        </w:rPr>
      </w:pPr>
    </w:p>
    <w:p w14:paraId="417E5246" w14:textId="77777777" w:rsidR="00C161BF" w:rsidRDefault="00C27F7E" w:rsidP="00C161B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£100 borrowed at 2% will require interest to be paid of </w:t>
      </w:r>
      <w:proofErr w:type="gramStart"/>
      <w:r>
        <w:rPr>
          <w:rFonts w:ascii="Arial" w:hAnsi="Arial" w:cs="Arial"/>
        </w:rPr>
        <w:t>£2</w:t>
      </w:r>
      <w:proofErr w:type="gramEnd"/>
    </w:p>
    <w:p w14:paraId="262716B5" w14:textId="77777777" w:rsidR="00C161BF" w:rsidRDefault="00C161BF" w:rsidP="00C161BF">
      <w:pPr>
        <w:pBdr>
          <w:top w:val="single" w:sz="4" w:space="1" w:color="auto"/>
          <w:left w:val="single" w:sz="4" w:space="4" w:color="auto"/>
          <w:bottom w:val="single" w:sz="4" w:space="1" w:color="auto"/>
          <w:right w:val="single" w:sz="4" w:space="4" w:color="auto"/>
        </w:pBdr>
        <w:rPr>
          <w:rFonts w:ascii="Arial" w:hAnsi="Arial" w:cs="Arial"/>
        </w:rPr>
      </w:pPr>
    </w:p>
    <w:p w14:paraId="449ED7F9" w14:textId="77777777" w:rsidR="00C161BF" w:rsidRDefault="00C161BF" w:rsidP="00C161B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£100 borrowed at 3% will require interest to be paid of </w:t>
      </w:r>
      <w:proofErr w:type="gramStart"/>
      <w:r>
        <w:rPr>
          <w:rFonts w:ascii="Arial" w:hAnsi="Arial" w:cs="Arial"/>
        </w:rPr>
        <w:t>£3</w:t>
      </w:r>
      <w:proofErr w:type="gramEnd"/>
    </w:p>
    <w:p w14:paraId="1CD04A78" w14:textId="77777777" w:rsidR="00C27F7E" w:rsidRDefault="00C27F7E" w:rsidP="00C27F7E">
      <w:pPr>
        <w:pBdr>
          <w:top w:val="single" w:sz="4" w:space="1" w:color="auto"/>
          <w:left w:val="single" w:sz="4" w:space="4" w:color="auto"/>
          <w:bottom w:val="single" w:sz="4" w:space="1" w:color="auto"/>
          <w:right w:val="single" w:sz="4" w:space="4" w:color="auto"/>
        </w:pBdr>
        <w:rPr>
          <w:rFonts w:ascii="Arial" w:hAnsi="Arial" w:cs="Arial"/>
        </w:rPr>
      </w:pPr>
    </w:p>
    <w:p w14:paraId="7DC59D5B" w14:textId="77777777" w:rsidR="00C27F7E" w:rsidRDefault="00C27F7E" w:rsidP="00C27F7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£3 is 50% more than </w:t>
      </w:r>
      <w:proofErr w:type="gramStart"/>
      <w:r>
        <w:rPr>
          <w:rFonts w:ascii="Arial" w:hAnsi="Arial" w:cs="Arial"/>
        </w:rPr>
        <w:t>£2</w:t>
      </w:r>
      <w:proofErr w:type="gramEnd"/>
    </w:p>
    <w:p w14:paraId="21329C01" w14:textId="77777777" w:rsidR="007D2AEF" w:rsidRDefault="007D2AEF">
      <w:pPr>
        <w:rPr>
          <w:rFonts w:ascii="Arial" w:hAnsi="Arial" w:cs="Arial"/>
        </w:rPr>
      </w:pPr>
    </w:p>
    <w:p w14:paraId="2D97943A" w14:textId="77777777" w:rsidR="008F4C5F" w:rsidRDefault="008F4C5F">
      <w:pPr>
        <w:rPr>
          <w:rFonts w:ascii="Arial" w:hAnsi="Arial" w:cs="Arial"/>
        </w:rPr>
      </w:pPr>
    </w:p>
    <w:p w14:paraId="2B1E41F3" w14:textId="77777777" w:rsidR="008C6AAF" w:rsidRDefault="00C23F3C">
      <w:pPr>
        <w:rPr>
          <w:rFonts w:ascii="Arial" w:hAnsi="Arial" w:cs="Arial"/>
        </w:rPr>
      </w:pPr>
      <w:r>
        <w:rPr>
          <w:rFonts w:ascii="Arial" w:hAnsi="Arial" w:cs="Arial"/>
        </w:rPr>
        <w:t>This can be further illustrated</w:t>
      </w:r>
      <w:r w:rsidR="00C161BF">
        <w:rPr>
          <w:rFonts w:ascii="Arial" w:hAnsi="Arial" w:cs="Arial"/>
        </w:rPr>
        <w:t xml:space="preserve"> by looking at the cumulative effect of higher interest rates</w:t>
      </w:r>
      <w:r w:rsidR="00404E09">
        <w:rPr>
          <w:rFonts w:ascii="Arial" w:hAnsi="Arial" w:cs="Arial"/>
        </w:rPr>
        <w:t xml:space="preserve"> on borrowing of £150k over 30 years;</w:t>
      </w:r>
    </w:p>
    <w:p w14:paraId="42D4C8B1" w14:textId="77777777" w:rsidR="00E752E3" w:rsidRDefault="00E752E3">
      <w:pPr>
        <w:rPr>
          <w:rFonts w:ascii="Arial" w:hAnsi="Arial" w:cs="Arial"/>
        </w:rPr>
      </w:pPr>
    </w:p>
    <w:p w14:paraId="7823F7BA" w14:textId="77777777" w:rsidR="008F4C5F" w:rsidRDefault="008F4C5F">
      <w:pPr>
        <w:rPr>
          <w:rFonts w:ascii="Arial" w:hAnsi="Arial" w:cs="Arial"/>
        </w:rPr>
      </w:pPr>
    </w:p>
    <w:p w14:paraId="16E39B13" w14:textId="77777777" w:rsidR="00E752E3" w:rsidRDefault="00E752E3">
      <w:pPr>
        <w:rPr>
          <w:rFonts w:ascii="Arial" w:hAnsi="Arial" w:cs="Arial"/>
        </w:rPr>
      </w:pPr>
    </w:p>
    <w:p w14:paraId="34C0EF29" w14:textId="77777777" w:rsidR="00E752E3" w:rsidRDefault="00E752E3">
      <w:pPr>
        <w:rPr>
          <w:rFonts w:ascii="Arial" w:hAnsi="Arial" w:cs="Arial"/>
        </w:rPr>
      </w:pPr>
    </w:p>
    <w:p w14:paraId="68A3C7C4" w14:textId="77777777" w:rsidR="00404E09" w:rsidRDefault="00404E09">
      <w:pPr>
        <w:rPr>
          <w:rFonts w:ascii="Arial" w:hAnsi="Arial" w:cs="Arial"/>
        </w:rPr>
      </w:pPr>
    </w:p>
    <w:tbl>
      <w:tblPr>
        <w:tblW w:w="742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2680"/>
        <w:gridCol w:w="1780"/>
        <w:gridCol w:w="1480"/>
        <w:gridCol w:w="1480"/>
      </w:tblGrid>
      <w:tr w:rsidR="004470A0" w:rsidRPr="004470A0" w14:paraId="37B26D7F" w14:textId="77777777" w:rsidTr="004470A0">
        <w:trPr>
          <w:trHeight w:val="250"/>
        </w:trPr>
        <w:tc>
          <w:tcPr>
            <w:tcW w:w="2680" w:type="dxa"/>
            <w:shd w:val="clear" w:color="auto" w:fill="FFFFFF"/>
            <w:noWrap/>
            <w:tcMar>
              <w:top w:w="0" w:type="dxa"/>
              <w:left w:w="108" w:type="dxa"/>
              <w:bottom w:w="0" w:type="dxa"/>
              <w:right w:w="108" w:type="dxa"/>
            </w:tcMar>
            <w:hideMark/>
          </w:tcPr>
          <w:p w14:paraId="6E339C2B" w14:textId="77777777" w:rsidR="004470A0" w:rsidRPr="004470A0" w:rsidRDefault="004470A0" w:rsidP="004470A0">
            <w:pPr>
              <w:rPr>
                <w:rFonts w:ascii="Helvetica" w:eastAsia="Times New Roman" w:hAnsi="Helvetica" w:cs="Arial"/>
                <w:color w:val="222222"/>
              </w:rPr>
            </w:pPr>
            <w:r w:rsidRPr="004470A0">
              <w:rPr>
                <w:rFonts w:ascii="Arial" w:eastAsia="Times New Roman" w:hAnsi="Arial" w:cs="Arial"/>
                <w:color w:val="000000"/>
                <w:sz w:val="20"/>
                <w:szCs w:val="20"/>
              </w:rPr>
              <w:t>Interest rate</w:t>
            </w:r>
          </w:p>
        </w:tc>
        <w:tc>
          <w:tcPr>
            <w:tcW w:w="1780" w:type="dxa"/>
            <w:shd w:val="clear" w:color="auto" w:fill="FFFFFF"/>
            <w:noWrap/>
            <w:tcMar>
              <w:top w:w="0" w:type="dxa"/>
              <w:left w:w="108" w:type="dxa"/>
              <w:bottom w:w="0" w:type="dxa"/>
              <w:right w:w="108" w:type="dxa"/>
            </w:tcMar>
            <w:hideMark/>
          </w:tcPr>
          <w:p w14:paraId="4CFB0206" w14:textId="77777777" w:rsidR="004470A0" w:rsidRPr="004470A0" w:rsidRDefault="004470A0" w:rsidP="004470A0">
            <w:pPr>
              <w:jc w:val="right"/>
              <w:rPr>
                <w:rFonts w:ascii="Helvetica" w:eastAsia="Times New Roman" w:hAnsi="Helvetica" w:cs="Arial"/>
                <w:color w:val="222222"/>
              </w:rPr>
            </w:pPr>
            <w:r w:rsidRPr="004470A0">
              <w:rPr>
                <w:rFonts w:ascii="Arial" w:eastAsia="Times New Roman" w:hAnsi="Arial" w:cs="Arial"/>
                <w:color w:val="000000"/>
                <w:sz w:val="20"/>
                <w:szCs w:val="20"/>
              </w:rPr>
              <w:t>2.15%</w:t>
            </w:r>
          </w:p>
        </w:tc>
        <w:tc>
          <w:tcPr>
            <w:tcW w:w="1480" w:type="dxa"/>
            <w:shd w:val="clear" w:color="auto" w:fill="FFFFFF"/>
            <w:noWrap/>
            <w:tcMar>
              <w:top w:w="0" w:type="dxa"/>
              <w:left w:w="108" w:type="dxa"/>
              <w:bottom w:w="0" w:type="dxa"/>
              <w:right w:w="108" w:type="dxa"/>
            </w:tcMar>
            <w:hideMark/>
          </w:tcPr>
          <w:p w14:paraId="5489894E" w14:textId="77777777" w:rsidR="004470A0" w:rsidRPr="004470A0" w:rsidRDefault="004470A0" w:rsidP="004470A0">
            <w:pPr>
              <w:jc w:val="right"/>
              <w:rPr>
                <w:rFonts w:ascii="Helvetica" w:eastAsia="Times New Roman" w:hAnsi="Helvetica" w:cs="Arial"/>
                <w:color w:val="222222"/>
              </w:rPr>
            </w:pPr>
            <w:r w:rsidRPr="004470A0">
              <w:rPr>
                <w:rFonts w:ascii="Arial" w:eastAsia="Times New Roman" w:hAnsi="Arial" w:cs="Arial"/>
                <w:color w:val="000000"/>
                <w:sz w:val="20"/>
                <w:szCs w:val="20"/>
              </w:rPr>
              <w:t>2.65%</w:t>
            </w:r>
          </w:p>
        </w:tc>
        <w:tc>
          <w:tcPr>
            <w:tcW w:w="1480" w:type="dxa"/>
            <w:shd w:val="clear" w:color="auto" w:fill="FFFFFF"/>
            <w:noWrap/>
            <w:tcMar>
              <w:top w:w="0" w:type="dxa"/>
              <w:left w:w="108" w:type="dxa"/>
              <w:bottom w:w="0" w:type="dxa"/>
              <w:right w:w="108" w:type="dxa"/>
            </w:tcMar>
            <w:hideMark/>
          </w:tcPr>
          <w:p w14:paraId="3B65491B" w14:textId="77777777" w:rsidR="004470A0" w:rsidRPr="004470A0" w:rsidRDefault="004470A0" w:rsidP="004470A0">
            <w:pPr>
              <w:jc w:val="right"/>
              <w:rPr>
                <w:rFonts w:ascii="Helvetica" w:eastAsia="Times New Roman" w:hAnsi="Helvetica" w:cs="Arial"/>
                <w:color w:val="222222"/>
              </w:rPr>
            </w:pPr>
            <w:r w:rsidRPr="004470A0">
              <w:rPr>
                <w:rFonts w:ascii="Arial" w:eastAsia="Times New Roman" w:hAnsi="Arial" w:cs="Arial"/>
                <w:color w:val="000000"/>
                <w:sz w:val="20"/>
                <w:szCs w:val="20"/>
              </w:rPr>
              <w:t>3.15%</w:t>
            </w:r>
          </w:p>
        </w:tc>
      </w:tr>
      <w:tr w:rsidR="004470A0" w:rsidRPr="004470A0" w14:paraId="55E246F2" w14:textId="77777777" w:rsidTr="004470A0">
        <w:trPr>
          <w:trHeight w:val="250"/>
        </w:trPr>
        <w:tc>
          <w:tcPr>
            <w:tcW w:w="2680" w:type="dxa"/>
            <w:shd w:val="clear" w:color="auto" w:fill="FFFFFF"/>
            <w:noWrap/>
            <w:tcMar>
              <w:top w:w="0" w:type="dxa"/>
              <w:left w:w="108" w:type="dxa"/>
              <w:bottom w:w="0" w:type="dxa"/>
              <w:right w:w="108" w:type="dxa"/>
            </w:tcMar>
            <w:hideMark/>
          </w:tcPr>
          <w:p w14:paraId="531F6F10" w14:textId="77777777" w:rsidR="004470A0" w:rsidRPr="004470A0" w:rsidRDefault="004470A0" w:rsidP="004470A0">
            <w:pPr>
              <w:rPr>
                <w:rFonts w:ascii="Helvetica" w:eastAsia="Times New Roman" w:hAnsi="Helvetica" w:cs="Arial"/>
                <w:color w:val="222222"/>
              </w:rPr>
            </w:pPr>
            <w:r w:rsidRPr="004470A0">
              <w:rPr>
                <w:rFonts w:ascii="Arial" w:eastAsia="Times New Roman" w:hAnsi="Arial" w:cs="Arial"/>
                <w:color w:val="000000"/>
                <w:sz w:val="20"/>
                <w:szCs w:val="20"/>
              </w:rPr>
              <w:t>Term</w:t>
            </w:r>
          </w:p>
        </w:tc>
        <w:tc>
          <w:tcPr>
            <w:tcW w:w="1780" w:type="dxa"/>
            <w:shd w:val="clear" w:color="auto" w:fill="FFFFFF"/>
            <w:noWrap/>
            <w:tcMar>
              <w:top w:w="0" w:type="dxa"/>
              <w:left w:w="108" w:type="dxa"/>
              <w:bottom w:w="0" w:type="dxa"/>
              <w:right w:w="108" w:type="dxa"/>
            </w:tcMar>
            <w:hideMark/>
          </w:tcPr>
          <w:p w14:paraId="77F48F0D" w14:textId="77777777" w:rsidR="004470A0" w:rsidRPr="004470A0" w:rsidRDefault="004470A0" w:rsidP="004470A0">
            <w:pPr>
              <w:jc w:val="right"/>
              <w:rPr>
                <w:rFonts w:ascii="Helvetica" w:eastAsia="Times New Roman" w:hAnsi="Helvetica" w:cs="Arial"/>
                <w:color w:val="222222"/>
              </w:rPr>
            </w:pPr>
            <w:r w:rsidRPr="004470A0">
              <w:rPr>
                <w:rFonts w:ascii="Arial" w:eastAsia="Times New Roman" w:hAnsi="Arial" w:cs="Arial"/>
                <w:color w:val="000000"/>
                <w:sz w:val="20"/>
                <w:szCs w:val="20"/>
              </w:rPr>
              <w:t>30</w:t>
            </w:r>
          </w:p>
        </w:tc>
        <w:tc>
          <w:tcPr>
            <w:tcW w:w="1480" w:type="dxa"/>
            <w:shd w:val="clear" w:color="auto" w:fill="FFFFFF"/>
            <w:noWrap/>
            <w:tcMar>
              <w:top w:w="0" w:type="dxa"/>
              <w:left w:w="108" w:type="dxa"/>
              <w:bottom w:w="0" w:type="dxa"/>
              <w:right w:w="108" w:type="dxa"/>
            </w:tcMar>
            <w:hideMark/>
          </w:tcPr>
          <w:p w14:paraId="7C20E88B" w14:textId="77777777" w:rsidR="004470A0" w:rsidRPr="004470A0" w:rsidRDefault="004470A0" w:rsidP="004470A0">
            <w:pPr>
              <w:jc w:val="right"/>
              <w:rPr>
                <w:rFonts w:ascii="Helvetica" w:eastAsia="Times New Roman" w:hAnsi="Helvetica" w:cs="Arial"/>
                <w:color w:val="222222"/>
              </w:rPr>
            </w:pPr>
            <w:r w:rsidRPr="004470A0">
              <w:rPr>
                <w:rFonts w:ascii="Arial" w:eastAsia="Times New Roman" w:hAnsi="Arial" w:cs="Arial"/>
                <w:color w:val="000000"/>
                <w:sz w:val="20"/>
                <w:szCs w:val="20"/>
              </w:rPr>
              <w:t>30</w:t>
            </w:r>
          </w:p>
        </w:tc>
        <w:tc>
          <w:tcPr>
            <w:tcW w:w="1480" w:type="dxa"/>
            <w:shd w:val="clear" w:color="auto" w:fill="FFFFFF"/>
            <w:noWrap/>
            <w:tcMar>
              <w:top w:w="0" w:type="dxa"/>
              <w:left w:w="108" w:type="dxa"/>
              <w:bottom w:w="0" w:type="dxa"/>
              <w:right w:w="108" w:type="dxa"/>
            </w:tcMar>
            <w:hideMark/>
          </w:tcPr>
          <w:p w14:paraId="15862265" w14:textId="77777777" w:rsidR="004470A0" w:rsidRPr="004470A0" w:rsidRDefault="004470A0" w:rsidP="004470A0">
            <w:pPr>
              <w:jc w:val="right"/>
              <w:rPr>
                <w:rFonts w:ascii="Helvetica" w:eastAsia="Times New Roman" w:hAnsi="Helvetica" w:cs="Arial"/>
                <w:color w:val="222222"/>
              </w:rPr>
            </w:pPr>
            <w:r w:rsidRPr="004470A0">
              <w:rPr>
                <w:rFonts w:ascii="Arial" w:eastAsia="Times New Roman" w:hAnsi="Arial" w:cs="Arial"/>
                <w:color w:val="000000"/>
                <w:sz w:val="20"/>
                <w:szCs w:val="20"/>
              </w:rPr>
              <w:t>30</w:t>
            </w:r>
          </w:p>
        </w:tc>
      </w:tr>
      <w:tr w:rsidR="004470A0" w:rsidRPr="004470A0" w14:paraId="1CCB9460" w14:textId="77777777" w:rsidTr="004470A0">
        <w:trPr>
          <w:trHeight w:val="255"/>
        </w:trPr>
        <w:tc>
          <w:tcPr>
            <w:tcW w:w="2680" w:type="dxa"/>
            <w:shd w:val="clear" w:color="auto" w:fill="FFFFFF"/>
            <w:noWrap/>
            <w:tcMar>
              <w:top w:w="0" w:type="dxa"/>
              <w:left w:w="108" w:type="dxa"/>
              <w:bottom w:w="0" w:type="dxa"/>
              <w:right w:w="108" w:type="dxa"/>
            </w:tcMar>
            <w:hideMark/>
          </w:tcPr>
          <w:p w14:paraId="64C88BFA" w14:textId="77777777" w:rsidR="004470A0" w:rsidRPr="004470A0" w:rsidRDefault="004470A0" w:rsidP="004470A0">
            <w:pPr>
              <w:rPr>
                <w:rFonts w:ascii="Helvetica" w:eastAsia="Times New Roman" w:hAnsi="Helvetica" w:cs="Arial"/>
                <w:color w:val="222222"/>
              </w:rPr>
            </w:pPr>
            <w:r w:rsidRPr="004470A0">
              <w:rPr>
                <w:rFonts w:ascii="Helvetica" w:eastAsia="Times New Roman" w:hAnsi="Helvetica" w:cs="Arial"/>
                <w:color w:val="222222"/>
                <w:sz w:val="20"/>
              </w:rPr>
              <w:t>Loan value</w:t>
            </w:r>
          </w:p>
        </w:tc>
        <w:tc>
          <w:tcPr>
            <w:tcW w:w="1780" w:type="dxa"/>
            <w:shd w:val="clear" w:color="auto" w:fill="FFFFFF"/>
            <w:noWrap/>
            <w:tcMar>
              <w:top w:w="0" w:type="dxa"/>
              <w:left w:w="108" w:type="dxa"/>
              <w:bottom w:w="0" w:type="dxa"/>
              <w:right w:w="108" w:type="dxa"/>
            </w:tcMar>
            <w:hideMark/>
          </w:tcPr>
          <w:p w14:paraId="7CAEDC65" w14:textId="77777777" w:rsidR="004470A0" w:rsidRPr="004470A0" w:rsidRDefault="004470A0" w:rsidP="004470A0">
            <w:pPr>
              <w:jc w:val="right"/>
              <w:rPr>
                <w:rFonts w:ascii="Helvetica" w:eastAsia="Times New Roman" w:hAnsi="Helvetica" w:cs="Arial"/>
                <w:color w:val="222222"/>
              </w:rPr>
            </w:pPr>
            <w:r w:rsidRPr="004470A0">
              <w:rPr>
                <w:rFonts w:ascii="Arial" w:eastAsia="Times New Roman" w:hAnsi="Arial" w:cs="Arial"/>
                <w:color w:val="000000"/>
                <w:sz w:val="20"/>
                <w:szCs w:val="20"/>
              </w:rPr>
              <w:t>£150,000</w:t>
            </w:r>
          </w:p>
        </w:tc>
        <w:tc>
          <w:tcPr>
            <w:tcW w:w="1480" w:type="dxa"/>
            <w:shd w:val="clear" w:color="auto" w:fill="FFFFFF"/>
            <w:noWrap/>
            <w:tcMar>
              <w:top w:w="0" w:type="dxa"/>
              <w:left w:w="108" w:type="dxa"/>
              <w:bottom w:w="0" w:type="dxa"/>
              <w:right w:w="108" w:type="dxa"/>
            </w:tcMar>
            <w:hideMark/>
          </w:tcPr>
          <w:p w14:paraId="5B4A0214" w14:textId="77777777" w:rsidR="004470A0" w:rsidRPr="004470A0" w:rsidRDefault="004470A0" w:rsidP="004470A0">
            <w:pPr>
              <w:jc w:val="right"/>
              <w:rPr>
                <w:rFonts w:ascii="Helvetica" w:eastAsia="Times New Roman" w:hAnsi="Helvetica" w:cs="Arial"/>
                <w:color w:val="222222"/>
              </w:rPr>
            </w:pPr>
            <w:r w:rsidRPr="004470A0">
              <w:rPr>
                <w:rFonts w:ascii="Arial" w:eastAsia="Times New Roman" w:hAnsi="Arial" w:cs="Arial"/>
                <w:color w:val="000000"/>
                <w:sz w:val="20"/>
                <w:szCs w:val="20"/>
              </w:rPr>
              <w:t>£150,000</w:t>
            </w:r>
          </w:p>
        </w:tc>
        <w:tc>
          <w:tcPr>
            <w:tcW w:w="1480" w:type="dxa"/>
            <w:shd w:val="clear" w:color="auto" w:fill="FFFFFF"/>
            <w:noWrap/>
            <w:tcMar>
              <w:top w:w="0" w:type="dxa"/>
              <w:left w:w="108" w:type="dxa"/>
              <w:bottom w:w="0" w:type="dxa"/>
              <w:right w:w="108" w:type="dxa"/>
            </w:tcMar>
            <w:hideMark/>
          </w:tcPr>
          <w:p w14:paraId="413EAEFA" w14:textId="77777777" w:rsidR="004470A0" w:rsidRPr="004470A0" w:rsidRDefault="004470A0" w:rsidP="004470A0">
            <w:pPr>
              <w:jc w:val="right"/>
              <w:rPr>
                <w:rFonts w:ascii="Helvetica" w:eastAsia="Times New Roman" w:hAnsi="Helvetica" w:cs="Arial"/>
                <w:color w:val="222222"/>
              </w:rPr>
            </w:pPr>
            <w:r w:rsidRPr="004470A0">
              <w:rPr>
                <w:rFonts w:ascii="Arial" w:eastAsia="Times New Roman" w:hAnsi="Arial" w:cs="Arial"/>
                <w:color w:val="000000"/>
                <w:sz w:val="20"/>
                <w:szCs w:val="20"/>
              </w:rPr>
              <w:t>£150,000</w:t>
            </w:r>
          </w:p>
        </w:tc>
      </w:tr>
      <w:tr w:rsidR="004470A0" w:rsidRPr="004470A0" w14:paraId="2DA38F57" w14:textId="77777777" w:rsidTr="004470A0">
        <w:trPr>
          <w:trHeight w:val="250"/>
        </w:trPr>
        <w:tc>
          <w:tcPr>
            <w:tcW w:w="2680" w:type="dxa"/>
            <w:shd w:val="clear" w:color="auto" w:fill="FFFFFF"/>
            <w:noWrap/>
            <w:tcMar>
              <w:top w:w="0" w:type="dxa"/>
              <w:left w:w="108" w:type="dxa"/>
              <w:bottom w:w="0" w:type="dxa"/>
              <w:right w:w="108" w:type="dxa"/>
            </w:tcMar>
            <w:hideMark/>
          </w:tcPr>
          <w:p w14:paraId="4907DB66" w14:textId="77777777" w:rsidR="004470A0" w:rsidRPr="004470A0" w:rsidRDefault="004470A0" w:rsidP="004470A0">
            <w:pPr>
              <w:rPr>
                <w:rFonts w:ascii="Helvetica" w:eastAsia="Times New Roman" w:hAnsi="Helvetica" w:cs="Arial"/>
                <w:color w:val="222222"/>
              </w:rPr>
            </w:pPr>
            <w:r w:rsidRPr="004470A0">
              <w:rPr>
                <w:rFonts w:ascii="Arial" w:eastAsia="Times New Roman" w:hAnsi="Arial" w:cs="Arial"/>
                <w:color w:val="000000"/>
                <w:sz w:val="20"/>
                <w:szCs w:val="20"/>
              </w:rPr>
              <w:t>Cumulative interest paid</w:t>
            </w:r>
          </w:p>
        </w:tc>
        <w:tc>
          <w:tcPr>
            <w:tcW w:w="1780" w:type="dxa"/>
            <w:shd w:val="clear" w:color="auto" w:fill="FFFFFF"/>
            <w:noWrap/>
            <w:tcMar>
              <w:top w:w="0" w:type="dxa"/>
              <w:left w:w="108" w:type="dxa"/>
              <w:bottom w:w="0" w:type="dxa"/>
              <w:right w:w="108" w:type="dxa"/>
            </w:tcMar>
            <w:hideMark/>
          </w:tcPr>
          <w:p w14:paraId="4D78BE8E" w14:textId="77777777" w:rsidR="004470A0" w:rsidRPr="004470A0" w:rsidRDefault="004470A0" w:rsidP="004470A0">
            <w:pPr>
              <w:jc w:val="right"/>
              <w:rPr>
                <w:rFonts w:ascii="Helvetica" w:eastAsia="Times New Roman" w:hAnsi="Helvetica" w:cs="Arial"/>
                <w:color w:val="222222"/>
              </w:rPr>
            </w:pPr>
            <w:r w:rsidRPr="004470A0">
              <w:rPr>
                <w:rFonts w:ascii="Arial" w:eastAsia="Times New Roman" w:hAnsi="Arial" w:cs="Arial"/>
                <w:color w:val="000000"/>
                <w:sz w:val="20"/>
                <w:szCs w:val="20"/>
              </w:rPr>
              <w:t>£55,092</w:t>
            </w:r>
          </w:p>
        </w:tc>
        <w:tc>
          <w:tcPr>
            <w:tcW w:w="1480" w:type="dxa"/>
            <w:shd w:val="clear" w:color="auto" w:fill="FFFFFF"/>
            <w:noWrap/>
            <w:tcMar>
              <w:top w:w="0" w:type="dxa"/>
              <w:left w:w="108" w:type="dxa"/>
              <w:bottom w:w="0" w:type="dxa"/>
              <w:right w:w="108" w:type="dxa"/>
            </w:tcMar>
            <w:hideMark/>
          </w:tcPr>
          <w:p w14:paraId="2C333A02" w14:textId="77777777" w:rsidR="004470A0" w:rsidRPr="004470A0" w:rsidRDefault="004470A0" w:rsidP="004470A0">
            <w:pPr>
              <w:jc w:val="right"/>
              <w:rPr>
                <w:rFonts w:ascii="Helvetica" w:eastAsia="Times New Roman" w:hAnsi="Helvetica" w:cs="Arial"/>
                <w:color w:val="222222"/>
              </w:rPr>
            </w:pPr>
            <w:r w:rsidRPr="004470A0">
              <w:rPr>
                <w:rFonts w:ascii="Arial" w:eastAsia="Times New Roman" w:hAnsi="Arial" w:cs="Arial"/>
                <w:color w:val="000000"/>
                <w:sz w:val="20"/>
                <w:szCs w:val="20"/>
              </w:rPr>
              <w:t>£69,322</w:t>
            </w:r>
          </w:p>
        </w:tc>
        <w:tc>
          <w:tcPr>
            <w:tcW w:w="1480" w:type="dxa"/>
            <w:shd w:val="clear" w:color="auto" w:fill="FFFFFF"/>
            <w:noWrap/>
            <w:tcMar>
              <w:top w:w="0" w:type="dxa"/>
              <w:left w:w="108" w:type="dxa"/>
              <w:bottom w:w="0" w:type="dxa"/>
              <w:right w:w="108" w:type="dxa"/>
            </w:tcMar>
            <w:hideMark/>
          </w:tcPr>
          <w:p w14:paraId="44453232" w14:textId="77777777" w:rsidR="004470A0" w:rsidRPr="004470A0" w:rsidRDefault="004470A0" w:rsidP="004470A0">
            <w:pPr>
              <w:jc w:val="right"/>
              <w:rPr>
                <w:rFonts w:ascii="Helvetica" w:eastAsia="Times New Roman" w:hAnsi="Helvetica" w:cs="Arial"/>
                <w:color w:val="222222"/>
              </w:rPr>
            </w:pPr>
            <w:r w:rsidRPr="004470A0">
              <w:rPr>
                <w:rFonts w:ascii="Arial" w:eastAsia="Times New Roman" w:hAnsi="Arial" w:cs="Arial"/>
                <w:color w:val="000000"/>
                <w:sz w:val="20"/>
                <w:szCs w:val="20"/>
              </w:rPr>
              <w:t>£84,061</w:t>
            </w:r>
          </w:p>
        </w:tc>
      </w:tr>
      <w:tr w:rsidR="004470A0" w:rsidRPr="004470A0" w14:paraId="1442FB52" w14:textId="77777777" w:rsidTr="004470A0">
        <w:trPr>
          <w:trHeight w:val="250"/>
        </w:trPr>
        <w:tc>
          <w:tcPr>
            <w:tcW w:w="2680" w:type="dxa"/>
            <w:shd w:val="clear" w:color="auto" w:fill="FFFFFF"/>
            <w:noWrap/>
            <w:tcMar>
              <w:top w:w="0" w:type="dxa"/>
              <w:left w:w="108" w:type="dxa"/>
              <w:bottom w:w="0" w:type="dxa"/>
              <w:right w:w="108" w:type="dxa"/>
            </w:tcMar>
            <w:hideMark/>
          </w:tcPr>
          <w:p w14:paraId="76BEDB03" w14:textId="77777777" w:rsidR="004470A0" w:rsidRPr="004470A0" w:rsidRDefault="004470A0" w:rsidP="004470A0">
            <w:pPr>
              <w:rPr>
                <w:rFonts w:ascii="Helvetica" w:eastAsia="Times New Roman" w:hAnsi="Helvetica" w:cs="Arial"/>
                <w:color w:val="222222"/>
              </w:rPr>
            </w:pPr>
            <w:r w:rsidRPr="004470A0">
              <w:rPr>
                <w:rFonts w:ascii="Arial" w:eastAsia="Times New Roman" w:hAnsi="Arial" w:cs="Arial"/>
                <w:color w:val="000000"/>
                <w:sz w:val="20"/>
                <w:szCs w:val="20"/>
              </w:rPr>
              <w:t xml:space="preserve">Additional interest </w:t>
            </w:r>
          </w:p>
        </w:tc>
        <w:tc>
          <w:tcPr>
            <w:tcW w:w="1780" w:type="dxa"/>
            <w:shd w:val="clear" w:color="auto" w:fill="FFFFFF"/>
            <w:noWrap/>
            <w:tcMar>
              <w:top w:w="0" w:type="dxa"/>
              <w:left w:w="108" w:type="dxa"/>
              <w:bottom w:w="0" w:type="dxa"/>
              <w:right w:w="108" w:type="dxa"/>
            </w:tcMar>
            <w:hideMark/>
          </w:tcPr>
          <w:p w14:paraId="12E4FD33" w14:textId="77777777" w:rsidR="004470A0" w:rsidRPr="004470A0" w:rsidRDefault="004470A0" w:rsidP="004470A0">
            <w:pPr>
              <w:rPr>
                <w:rFonts w:ascii="Helvetica" w:eastAsia="Times New Roman" w:hAnsi="Helvetica" w:cs="Arial"/>
                <w:color w:val="222222"/>
              </w:rPr>
            </w:pPr>
          </w:p>
        </w:tc>
        <w:tc>
          <w:tcPr>
            <w:tcW w:w="1480" w:type="dxa"/>
            <w:shd w:val="clear" w:color="auto" w:fill="FFFFFF"/>
            <w:noWrap/>
            <w:tcMar>
              <w:top w:w="0" w:type="dxa"/>
              <w:left w:w="108" w:type="dxa"/>
              <w:bottom w:w="0" w:type="dxa"/>
              <w:right w:w="108" w:type="dxa"/>
            </w:tcMar>
            <w:hideMark/>
          </w:tcPr>
          <w:p w14:paraId="75D251C9" w14:textId="77777777" w:rsidR="004470A0" w:rsidRPr="004470A0" w:rsidRDefault="004470A0" w:rsidP="004470A0">
            <w:pPr>
              <w:jc w:val="right"/>
              <w:rPr>
                <w:rFonts w:ascii="Helvetica" w:eastAsia="Times New Roman" w:hAnsi="Helvetica" w:cs="Arial"/>
                <w:color w:val="222222"/>
              </w:rPr>
            </w:pPr>
            <w:r w:rsidRPr="004470A0">
              <w:rPr>
                <w:rFonts w:ascii="Arial" w:eastAsia="Times New Roman" w:hAnsi="Arial" w:cs="Arial"/>
                <w:color w:val="000000"/>
                <w:sz w:val="20"/>
                <w:szCs w:val="20"/>
              </w:rPr>
              <w:t>£14,230</w:t>
            </w:r>
          </w:p>
        </w:tc>
        <w:tc>
          <w:tcPr>
            <w:tcW w:w="1480" w:type="dxa"/>
            <w:shd w:val="clear" w:color="auto" w:fill="FFFFFF"/>
            <w:noWrap/>
            <w:tcMar>
              <w:top w:w="0" w:type="dxa"/>
              <w:left w:w="108" w:type="dxa"/>
              <w:bottom w:w="0" w:type="dxa"/>
              <w:right w:w="108" w:type="dxa"/>
            </w:tcMar>
            <w:hideMark/>
          </w:tcPr>
          <w:p w14:paraId="20987812" w14:textId="77777777" w:rsidR="004470A0" w:rsidRPr="004470A0" w:rsidRDefault="004470A0" w:rsidP="004470A0">
            <w:pPr>
              <w:jc w:val="right"/>
              <w:rPr>
                <w:rFonts w:ascii="Helvetica" w:eastAsia="Times New Roman" w:hAnsi="Helvetica" w:cs="Arial"/>
                <w:color w:val="222222"/>
              </w:rPr>
            </w:pPr>
            <w:r w:rsidRPr="004470A0">
              <w:rPr>
                <w:rFonts w:ascii="Arial" w:eastAsia="Times New Roman" w:hAnsi="Arial" w:cs="Arial"/>
                <w:color w:val="000000"/>
                <w:sz w:val="20"/>
                <w:szCs w:val="20"/>
              </w:rPr>
              <w:t>£28,968</w:t>
            </w:r>
          </w:p>
        </w:tc>
      </w:tr>
    </w:tbl>
    <w:p w14:paraId="68B035C7" w14:textId="77777777" w:rsidR="004470A0" w:rsidRDefault="004470A0">
      <w:pPr>
        <w:rPr>
          <w:rFonts w:ascii="Arial" w:hAnsi="Arial" w:cs="Arial"/>
          <w:sz w:val="18"/>
        </w:rPr>
      </w:pPr>
    </w:p>
    <w:p w14:paraId="4B0C0DF3" w14:textId="77777777" w:rsidR="00404E09" w:rsidRPr="004470A0" w:rsidRDefault="004470A0">
      <w:pPr>
        <w:rPr>
          <w:rFonts w:ascii="Arial" w:hAnsi="Arial" w:cs="Arial"/>
          <w:sz w:val="18"/>
        </w:rPr>
      </w:pPr>
      <w:r w:rsidRPr="004470A0">
        <w:rPr>
          <w:rFonts w:ascii="Arial" w:hAnsi="Arial" w:cs="Arial"/>
          <w:sz w:val="18"/>
        </w:rPr>
        <w:t>Source; Scottish Gov Analysts</w:t>
      </w:r>
    </w:p>
    <w:p w14:paraId="28800A61" w14:textId="77777777" w:rsidR="00C23F3C" w:rsidRDefault="00C23F3C">
      <w:pPr>
        <w:rPr>
          <w:rFonts w:ascii="Arial" w:hAnsi="Arial" w:cs="Arial"/>
        </w:rPr>
      </w:pPr>
    </w:p>
    <w:p w14:paraId="531B02AE" w14:textId="77777777" w:rsidR="00C23F3C" w:rsidRDefault="008F4C5F">
      <w:pPr>
        <w:rPr>
          <w:rFonts w:ascii="Arial" w:hAnsi="Arial" w:cs="Arial"/>
        </w:rPr>
      </w:pPr>
      <w:r>
        <w:rPr>
          <w:rFonts w:ascii="Arial" w:hAnsi="Arial" w:cs="Arial"/>
        </w:rPr>
        <w:t>The p</w:t>
      </w:r>
      <w:r w:rsidR="002021B9">
        <w:rPr>
          <w:rFonts w:ascii="Arial" w:hAnsi="Arial" w:cs="Arial"/>
        </w:rPr>
        <w:t>oint of these illustrations is t</w:t>
      </w:r>
      <w:r>
        <w:rPr>
          <w:rFonts w:ascii="Arial" w:hAnsi="Arial" w:cs="Arial"/>
        </w:rPr>
        <w:t xml:space="preserve">o emphasize that small differences in interest rates can make a big difference to the revenue costs of funding that borrowing and lead to significant additional interest over the life of the </w:t>
      </w:r>
      <w:commentRangeStart w:id="27"/>
      <w:r>
        <w:rPr>
          <w:rFonts w:ascii="Arial" w:hAnsi="Arial" w:cs="Arial"/>
        </w:rPr>
        <w:t>loan</w:t>
      </w:r>
      <w:commentRangeEnd w:id="27"/>
      <w:r w:rsidR="00FC74EB">
        <w:rPr>
          <w:rStyle w:val="CommentReference"/>
        </w:rPr>
        <w:commentReference w:id="27"/>
      </w:r>
      <w:r>
        <w:rPr>
          <w:rFonts w:ascii="Arial" w:hAnsi="Arial" w:cs="Arial"/>
        </w:rPr>
        <w:t>.</w:t>
      </w:r>
    </w:p>
    <w:p w14:paraId="4E42A613" w14:textId="77777777" w:rsidR="008F4C5F" w:rsidRDefault="008F4C5F">
      <w:pPr>
        <w:rPr>
          <w:rFonts w:ascii="Arial" w:hAnsi="Arial" w:cs="Arial"/>
        </w:rPr>
      </w:pPr>
    </w:p>
    <w:p w14:paraId="6DEA1113" w14:textId="77777777" w:rsidR="007D2AEF" w:rsidRPr="008C6AAF" w:rsidRDefault="007D2AEF">
      <w:pPr>
        <w:rPr>
          <w:rFonts w:ascii="Arial" w:hAnsi="Arial" w:cs="Arial"/>
          <w:u w:val="single"/>
        </w:rPr>
      </w:pPr>
      <w:r>
        <w:rPr>
          <w:rFonts w:ascii="Arial" w:hAnsi="Arial" w:cs="Arial"/>
        </w:rPr>
        <w:t>2</w:t>
      </w:r>
      <w:r>
        <w:rPr>
          <w:rFonts w:ascii="Arial" w:hAnsi="Arial" w:cs="Arial"/>
        </w:rPr>
        <w:tab/>
      </w:r>
      <w:r w:rsidRPr="008C6AAF">
        <w:rPr>
          <w:rFonts w:ascii="Arial" w:hAnsi="Arial" w:cs="Arial"/>
          <w:u w:val="single"/>
        </w:rPr>
        <w:t xml:space="preserve">Reported HRA pool </w:t>
      </w:r>
      <w:proofErr w:type="gramStart"/>
      <w:r w:rsidRPr="008C6AAF">
        <w:rPr>
          <w:rFonts w:ascii="Arial" w:hAnsi="Arial" w:cs="Arial"/>
          <w:u w:val="single"/>
        </w:rPr>
        <w:t>rates</w:t>
      </w:r>
      <w:proofErr w:type="gramEnd"/>
    </w:p>
    <w:p w14:paraId="479DEE81" w14:textId="77777777" w:rsidR="007D2AEF" w:rsidRDefault="007D2AEF">
      <w:pPr>
        <w:rPr>
          <w:rFonts w:ascii="Arial" w:hAnsi="Arial" w:cs="Arial"/>
        </w:rPr>
      </w:pPr>
    </w:p>
    <w:p w14:paraId="10D39439" w14:textId="77777777" w:rsidR="007D2AEF" w:rsidRDefault="007D2AEF">
      <w:pPr>
        <w:rPr>
          <w:rFonts w:ascii="Arial" w:hAnsi="Arial" w:cs="Arial"/>
        </w:rPr>
      </w:pPr>
      <w:r>
        <w:rPr>
          <w:rFonts w:ascii="Arial" w:hAnsi="Arial" w:cs="Arial"/>
        </w:rPr>
        <w:t xml:space="preserve">ALACHO submitted figures </w:t>
      </w:r>
      <w:r w:rsidR="008C6AAF">
        <w:rPr>
          <w:rFonts w:ascii="Arial" w:hAnsi="Arial" w:cs="Arial"/>
        </w:rPr>
        <w:t>(</w:t>
      </w:r>
      <w:r>
        <w:rPr>
          <w:rFonts w:ascii="Arial" w:hAnsi="Arial" w:cs="Arial"/>
        </w:rPr>
        <w:t>based on the published HRA estimates for 20/21</w:t>
      </w:r>
      <w:r w:rsidR="008C6AAF">
        <w:rPr>
          <w:rFonts w:ascii="Arial" w:hAnsi="Arial" w:cs="Arial"/>
        </w:rPr>
        <w:t>) which stated;</w:t>
      </w:r>
    </w:p>
    <w:p w14:paraId="1FE9FB84" w14:textId="77777777" w:rsidR="008C6AAF" w:rsidRDefault="008C6AAF">
      <w:pPr>
        <w:rPr>
          <w:rFonts w:ascii="Arial" w:hAnsi="Arial" w:cs="Arial"/>
        </w:rPr>
      </w:pPr>
    </w:p>
    <w:p w14:paraId="6E62C241" w14:textId="77777777" w:rsidR="008C6AAF" w:rsidRDefault="008C6AAF">
      <w:pPr>
        <w:rPr>
          <w:rFonts w:ascii="Arial" w:hAnsi="Arial" w:cs="Arial"/>
        </w:rPr>
      </w:pPr>
      <w:r>
        <w:rPr>
          <w:rFonts w:ascii="Arial" w:hAnsi="Arial" w:cs="Arial"/>
        </w:rPr>
        <w:t>“The … figures</w:t>
      </w:r>
      <w:r w:rsidR="007F1FFF">
        <w:rPr>
          <w:rFonts w:ascii="Arial" w:hAnsi="Arial" w:cs="Arial"/>
        </w:rPr>
        <w:t xml:space="preserve"> [for councils]</w:t>
      </w:r>
      <w:r>
        <w:rPr>
          <w:rFonts w:ascii="Arial" w:hAnsi="Arial" w:cs="Arial"/>
        </w:rPr>
        <w:t xml:space="preserve"> show rates ranging from 2.58% to 5%”</w:t>
      </w:r>
    </w:p>
    <w:p w14:paraId="5DC32681" w14:textId="77777777" w:rsidR="008C6AAF" w:rsidRDefault="008C6AAF">
      <w:pPr>
        <w:rPr>
          <w:rFonts w:ascii="Arial" w:hAnsi="Arial" w:cs="Arial"/>
        </w:rPr>
      </w:pPr>
    </w:p>
    <w:p w14:paraId="22A91C79" w14:textId="77777777" w:rsidR="008C6AAF" w:rsidRDefault="008C6AAF">
      <w:pPr>
        <w:rPr>
          <w:rFonts w:ascii="Arial" w:hAnsi="Arial" w:cs="Arial"/>
        </w:rPr>
      </w:pPr>
      <w:r>
        <w:rPr>
          <w:rFonts w:ascii="Arial" w:hAnsi="Arial" w:cs="Arial"/>
        </w:rPr>
        <w:t>The ALACHO paper also considers total interest payments from the HRA against total debt and concludes that the overall interest rate</w:t>
      </w:r>
      <w:r w:rsidR="008F4C5F">
        <w:rPr>
          <w:rFonts w:ascii="Arial" w:hAnsi="Arial" w:cs="Arial"/>
        </w:rPr>
        <w:t xml:space="preserve"> on that basis</w:t>
      </w:r>
      <w:r>
        <w:rPr>
          <w:rFonts w:ascii="Arial" w:hAnsi="Arial" w:cs="Arial"/>
        </w:rPr>
        <w:t xml:space="preserve"> is 3.57%.</w:t>
      </w:r>
    </w:p>
    <w:p w14:paraId="4CB6203A" w14:textId="77777777" w:rsidR="008C6AAF" w:rsidRDefault="008C6AAF">
      <w:pPr>
        <w:rPr>
          <w:rFonts w:ascii="Arial" w:hAnsi="Arial" w:cs="Arial"/>
        </w:rPr>
      </w:pPr>
    </w:p>
    <w:p w14:paraId="01FF3BD9" w14:textId="77777777" w:rsidR="008C6AAF" w:rsidRDefault="008C6AAF">
      <w:pPr>
        <w:rPr>
          <w:rFonts w:ascii="Arial" w:hAnsi="Arial" w:cs="Arial"/>
        </w:rPr>
      </w:pPr>
      <w:r>
        <w:rPr>
          <w:rFonts w:ascii="Arial" w:hAnsi="Arial" w:cs="Arial"/>
        </w:rPr>
        <w:t>Looking at the published tables, the actual median for these figures is 3.8%.</w:t>
      </w:r>
    </w:p>
    <w:p w14:paraId="37A7A117" w14:textId="77777777" w:rsidR="008C6AAF" w:rsidRDefault="008C6AAF">
      <w:pPr>
        <w:rPr>
          <w:rFonts w:ascii="Arial" w:hAnsi="Arial" w:cs="Arial"/>
        </w:rPr>
      </w:pPr>
    </w:p>
    <w:p w14:paraId="34DBBE1C" w14:textId="77777777" w:rsidR="008C6AAF" w:rsidRDefault="008C6AAF">
      <w:pPr>
        <w:rPr>
          <w:rFonts w:ascii="Arial" w:hAnsi="Arial" w:cs="Arial"/>
        </w:rPr>
      </w:pPr>
      <w:r>
        <w:rPr>
          <w:rFonts w:ascii="Arial" w:hAnsi="Arial" w:cs="Arial"/>
        </w:rPr>
        <w:t>However, these figures are not comparable with those in section 1 above. Those in section 1 above refer to interest rates on NEW lending. Those quoted by ALACHO from the HRA returns are HISTORICAL debts (</w:t>
      </w:r>
      <w:proofErr w:type="spellStart"/>
      <w:proofErr w:type="gramStart"/>
      <w:r>
        <w:rPr>
          <w:rFonts w:ascii="Arial" w:hAnsi="Arial" w:cs="Arial"/>
        </w:rPr>
        <w:t>ie</w:t>
      </w:r>
      <w:proofErr w:type="spellEnd"/>
      <w:proofErr w:type="gramEnd"/>
      <w:r>
        <w:rPr>
          <w:rFonts w:ascii="Arial" w:hAnsi="Arial" w:cs="Arial"/>
        </w:rPr>
        <w:t xml:space="preserve"> ALL debt). Councils will be paying interest on loans taken out when interest rates were much </w:t>
      </w:r>
      <w:proofErr w:type="gramStart"/>
      <w:r>
        <w:rPr>
          <w:rFonts w:ascii="Arial" w:hAnsi="Arial" w:cs="Arial"/>
        </w:rPr>
        <w:t>higher</w:t>
      </w:r>
      <w:proofErr w:type="gramEnd"/>
      <w:r>
        <w:rPr>
          <w:rFonts w:ascii="Arial" w:hAnsi="Arial" w:cs="Arial"/>
        </w:rPr>
        <w:t xml:space="preserve"> and these will vary over time. Interest rates for more recent loans will be much lower than those taken out 30 years ago, for </w:t>
      </w:r>
      <w:commentRangeStart w:id="28"/>
      <w:r>
        <w:rPr>
          <w:rFonts w:ascii="Arial" w:hAnsi="Arial" w:cs="Arial"/>
        </w:rPr>
        <w:t>example</w:t>
      </w:r>
      <w:commentRangeEnd w:id="28"/>
      <w:r w:rsidR="002368EF">
        <w:rPr>
          <w:rStyle w:val="CommentReference"/>
        </w:rPr>
        <w:commentReference w:id="28"/>
      </w:r>
      <w:r>
        <w:rPr>
          <w:rFonts w:ascii="Arial" w:hAnsi="Arial" w:cs="Arial"/>
        </w:rPr>
        <w:t>.</w:t>
      </w:r>
    </w:p>
    <w:p w14:paraId="6D18FEFA" w14:textId="77777777" w:rsidR="008C6AAF" w:rsidRDefault="008C6AAF">
      <w:pPr>
        <w:rPr>
          <w:rFonts w:ascii="Arial" w:hAnsi="Arial" w:cs="Arial"/>
        </w:rPr>
      </w:pPr>
    </w:p>
    <w:p w14:paraId="72FAAF9C" w14:textId="77777777" w:rsidR="008C6AAF" w:rsidRDefault="008C6AAF">
      <w:pPr>
        <w:rPr>
          <w:rFonts w:ascii="Arial" w:hAnsi="Arial" w:cs="Arial"/>
        </w:rPr>
      </w:pPr>
      <w:r>
        <w:rPr>
          <w:rFonts w:ascii="Arial" w:hAnsi="Arial" w:cs="Arial"/>
        </w:rPr>
        <w:t>It is suggested that the cost of new borrowing is a more meaningful figure upon which to base discussion than is the historical</w:t>
      </w:r>
      <w:r w:rsidR="00902C5F">
        <w:rPr>
          <w:rFonts w:ascii="Arial" w:hAnsi="Arial" w:cs="Arial"/>
        </w:rPr>
        <w:t>, aggregated</w:t>
      </w:r>
      <w:r>
        <w:rPr>
          <w:rFonts w:ascii="Arial" w:hAnsi="Arial" w:cs="Arial"/>
        </w:rPr>
        <w:t xml:space="preserve"> cost.</w:t>
      </w:r>
    </w:p>
    <w:p w14:paraId="162FD801" w14:textId="77777777" w:rsidR="008543FD" w:rsidRDefault="008543FD">
      <w:pPr>
        <w:rPr>
          <w:rFonts w:ascii="Arial" w:hAnsi="Arial" w:cs="Arial"/>
        </w:rPr>
      </w:pPr>
    </w:p>
    <w:p w14:paraId="447E5A3B" w14:textId="77777777" w:rsidR="008543FD" w:rsidRPr="008543FD" w:rsidRDefault="008543FD">
      <w:pPr>
        <w:rPr>
          <w:rFonts w:ascii="Arial" w:hAnsi="Arial" w:cs="Arial"/>
          <w:u w:val="single"/>
        </w:rPr>
      </w:pPr>
      <w:r>
        <w:rPr>
          <w:rFonts w:ascii="Arial" w:hAnsi="Arial" w:cs="Arial"/>
        </w:rPr>
        <w:t>3</w:t>
      </w:r>
      <w:r>
        <w:rPr>
          <w:rFonts w:ascii="Arial" w:hAnsi="Arial" w:cs="Arial"/>
        </w:rPr>
        <w:tab/>
      </w:r>
      <w:r w:rsidRPr="008543FD">
        <w:rPr>
          <w:rFonts w:ascii="Arial" w:hAnsi="Arial" w:cs="Arial"/>
          <w:u w:val="single"/>
        </w:rPr>
        <w:t>Other costs</w:t>
      </w:r>
    </w:p>
    <w:p w14:paraId="3E58684B" w14:textId="77777777" w:rsidR="008543FD" w:rsidRDefault="008543FD">
      <w:pPr>
        <w:rPr>
          <w:rFonts w:ascii="Arial" w:hAnsi="Arial" w:cs="Arial"/>
        </w:rPr>
      </w:pPr>
    </w:p>
    <w:p w14:paraId="60A5DD6F" w14:textId="77777777" w:rsidR="008543FD" w:rsidRDefault="008543FD">
      <w:pPr>
        <w:rPr>
          <w:rFonts w:ascii="Arial" w:hAnsi="Arial" w:cs="Arial"/>
        </w:rPr>
      </w:pPr>
      <w:commentRangeStart w:id="29"/>
      <w:commentRangeStart w:id="30"/>
      <w:r>
        <w:rPr>
          <w:rFonts w:ascii="Arial" w:hAnsi="Arial" w:cs="Arial"/>
        </w:rPr>
        <w:t>Under the PWLB, councils typically borrow annually to meet all the planned investment across all council services for a given year. Individual projects are then ‘called off’ from that provision. It is a simple mechanism – sometimes referred to as a ‘cashpoint’ – where individual service investments are not scrutinised by lenders.</w:t>
      </w:r>
    </w:p>
    <w:p w14:paraId="562CE382" w14:textId="77777777" w:rsidR="008543FD" w:rsidRDefault="008543FD">
      <w:pPr>
        <w:rPr>
          <w:rFonts w:ascii="Arial" w:hAnsi="Arial" w:cs="Arial"/>
        </w:rPr>
      </w:pPr>
    </w:p>
    <w:p w14:paraId="1320D98E" w14:textId="77777777" w:rsidR="008543FD" w:rsidRDefault="008543FD">
      <w:pPr>
        <w:rPr>
          <w:rFonts w:ascii="Arial" w:hAnsi="Arial" w:cs="Arial"/>
        </w:rPr>
      </w:pPr>
      <w:r>
        <w:rPr>
          <w:rFonts w:ascii="Arial" w:hAnsi="Arial" w:cs="Arial"/>
        </w:rPr>
        <w:t xml:space="preserve">In contrast, RSLs incur significant costs in applying for loans, administering </w:t>
      </w:r>
      <w:proofErr w:type="gramStart"/>
      <w:r>
        <w:rPr>
          <w:rFonts w:ascii="Arial" w:hAnsi="Arial" w:cs="Arial"/>
        </w:rPr>
        <w:t>them</w:t>
      </w:r>
      <w:proofErr w:type="gramEnd"/>
      <w:r>
        <w:rPr>
          <w:rFonts w:ascii="Arial" w:hAnsi="Arial" w:cs="Arial"/>
        </w:rPr>
        <w:t xml:space="preserve"> and reporting on them. For example, RSLs pay arrangement fees (typically 0.5 – 1.0% of loan value) and they incur valuation and legal costs relating not only to the new homes but also those being used as security. The latter typically require to be revalued periodically (typically every 3 years) and the services of a security trustee/asset manager (</w:t>
      </w:r>
      <w:proofErr w:type="spellStart"/>
      <w:proofErr w:type="gramStart"/>
      <w:r>
        <w:rPr>
          <w:rFonts w:ascii="Arial" w:hAnsi="Arial" w:cs="Arial"/>
        </w:rPr>
        <w:t>eg</w:t>
      </w:r>
      <w:proofErr w:type="spellEnd"/>
      <w:proofErr w:type="gramEnd"/>
      <w:r>
        <w:rPr>
          <w:rFonts w:ascii="Arial" w:hAnsi="Arial" w:cs="Arial"/>
        </w:rPr>
        <w:t xml:space="preserve"> Prudential) </w:t>
      </w:r>
      <w:r w:rsidR="008F4C5F">
        <w:rPr>
          <w:rFonts w:ascii="Arial" w:hAnsi="Arial" w:cs="Arial"/>
        </w:rPr>
        <w:t xml:space="preserve">will be required </w:t>
      </w:r>
      <w:r>
        <w:rPr>
          <w:rFonts w:ascii="Arial" w:hAnsi="Arial" w:cs="Arial"/>
        </w:rPr>
        <w:t>to endorse the transaction. RSLs then have a range of reporting arrangements such as annual funder meetings and covenant reporting.</w:t>
      </w:r>
      <w:commentRangeEnd w:id="29"/>
      <w:r w:rsidR="005C2421">
        <w:rPr>
          <w:rStyle w:val="CommentReference"/>
        </w:rPr>
        <w:commentReference w:id="29"/>
      </w:r>
      <w:commentRangeEnd w:id="30"/>
      <w:r w:rsidR="00AF5ED0">
        <w:rPr>
          <w:rStyle w:val="CommentReference"/>
        </w:rPr>
        <w:commentReference w:id="30"/>
      </w:r>
    </w:p>
    <w:p w14:paraId="6E46E291" w14:textId="77777777" w:rsidR="00EF0C27" w:rsidRDefault="00EF0C27">
      <w:pPr>
        <w:rPr>
          <w:rFonts w:ascii="Arial" w:hAnsi="Arial" w:cs="Arial"/>
        </w:rPr>
      </w:pPr>
    </w:p>
    <w:p w14:paraId="306EC78B" w14:textId="77777777" w:rsidR="00EF0C27" w:rsidRPr="002021B9" w:rsidRDefault="002021B9" w:rsidP="00EF0C27">
      <w:pPr>
        <w:rPr>
          <w:rFonts w:ascii="Arial" w:eastAsia="Times New Roman" w:hAnsi="Arial" w:cs="Times New Roman"/>
          <w:szCs w:val="20"/>
          <w:u w:val="single"/>
        </w:rPr>
      </w:pPr>
      <w:r w:rsidRPr="002021B9">
        <w:rPr>
          <w:rFonts w:ascii="Arial" w:hAnsi="Arial" w:cs="Arial"/>
          <w:u w:val="single"/>
        </w:rPr>
        <w:lastRenderedPageBreak/>
        <w:t>Annex 2:</w:t>
      </w:r>
      <w:r w:rsidR="00EF0C27" w:rsidRPr="002021B9">
        <w:rPr>
          <w:rFonts w:ascii="Arial" w:hAnsi="Arial" w:cs="Arial"/>
          <w:u w:val="single"/>
        </w:rPr>
        <w:t xml:space="preserve"> Council Social Rent Proposed Benchmarks - </w:t>
      </w:r>
      <w:r w:rsidR="00EF0C27" w:rsidRPr="002021B9">
        <w:rPr>
          <w:rFonts w:ascii="Arial" w:eastAsia="Times New Roman" w:hAnsi="Arial" w:cs="Times New Roman"/>
          <w:szCs w:val="20"/>
          <w:u w:val="single"/>
        </w:rPr>
        <w:t>Calculations</w:t>
      </w:r>
    </w:p>
    <w:p w14:paraId="24E9E482" w14:textId="77777777" w:rsidR="00EF0C27" w:rsidRPr="00EF0C27" w:rsidRDefault="00EF0C27" w:rsidP="00EF0C27">
      <w:pPr>
        <w:rPr>
          <w:rFonts w:ascii="Arial" w:eastAsia="Times New Roman" w:hAnsi="Arial" w:cs="Times New Roman"/>
          <w:b/>
          <w:szCs w:val="20"/>
        </w:rPr>
      </w:pPr>
    </w:p>
    <w:tbl>
      <w:tblPr>
        <w:tblW w:w="9260" w:type="dxa"/>
        <w:tblLook w:val="04A0" w:firstRow="1" w:lastRow="0" w:firstColumn="1" w:lastColumn="0" w:noHBand="0" w:noVBand="1"/>
      </w:tblPr>
      <w:tblGrid>
        <w:gridCol w:w="3700"/>
        <w:gridCol w:w="2200"/>
        <w:gridCol w:w="1460"/>
        <w:gridCol w:w="1900"/>
      </w:tblGrid>
      <w:tr w:rsidR="00EF0C27" w:rsidRPr="00EF0C27" w14:paraId="0C7A60A3" w14:textId="77777777" w:rsidTr="00AB0313">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00DDE" w14:textId="77777777" w:rsidR="00EF0C27" w:rsidRPr="00EF0C27" w:rsidRDefault="00EF0C27" w:rsidP="00EF0C27">
            <w:pPr>
              <w:rPr>
                <w:rFonts w:ascii="Arial" w:eastAsia="Times New Roman" w:hAnsi="Arial" w:cs="Arial"/>
                <w:b/>
                <w:bCs/>
                <w:color w:val="000000"/>
                <w:sz w:val="22"/>
                <w:szCs w:val="22"/>
                <w:lang w:eastAsia="en-GB"/>
              </w:rPr>
            </w:pPr>
            <w:r w:rsidRPr="00EF0C27">
              <w:rPr>
                <w:rFonts w:ascii="Arial" w:eastAsia="Times New Roman" w:hAnsi="Arial" w:cs="Arial"/>
                <w:b/>
                <w:bCs/>
                <w:color w:val="000000"/>
                <w:sz w:val="22"/>
                <w:szCs w:val="22"/>
                <w:lang w:eastAsia="en-GB"/>
              </w:rPr>
              <w:t>COUNCIL SOCIAL RENT</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0350D1CC" w14:textId="77777777" w:rsidR="00EF0C27" w:rsidRPr="00EF0C27" w:rsidRDefault="00EF0C27" w:rsidP="00EF0C27">
            <w:pPr>
              <w:jc w:val="center"/>
              <w:rPr>
                <w:rFonts w:ascii="Arial" w:eastAsia="Times New Roman" w:hAnsi="Arial" w:cs="Arial"/>
                <w:b/>
                <w:bCs/>
                <w:color w:val="000000"/>
                <w:sz w:val="22"/>
                <w:szCs w:val="22"/>
                <w:lang w:eastAsia="en-GB"/>
              </w:rPr>
            </w:pPr>
            <w:r w:rsidRPr="00EF0C27">
              <w:rPr>
                <w:rFonts w:ascii="Arial" w:eastAsia="Times New Roman" w:hAnsi="Arial" w:cs="Arial"/>
                <w:b/>
                <w:bCs/>
                <w:color w:val="000000"/>
                <w:sz w:val="22"/>
                <w:szCs w:val="22"/>
                <w:lang w:eastAsia="en-GB"/>
              </w:rPr>
              <w:t>REMOTE RURAL</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E8D31E9" w14:textId="77777777" w:rsidR="00EF0C27" w:rsidRPr="00EF0C27" w:rsidRDefault="00EF0C27" w:rsidP="00EF0C27">
            <w:pPr>
              <w:jc w:val="center"/>
              <w:rPr>
                <w:rFonts w:ascii="Arial" w:eastAsia="Times New Roman" w:hAnsi="Arial" w:cs="Arial"/>
                <w:b/>
                <w:bCs/>
                <w:color w:val="000000"/>
                <w:sz w:val="22"/>
                <w:szCs w:val="22"/>
                <w:lang w:eastAsia="en-GB"/>
              </w:rPr>
            </w:pPr>
            <w:r w:rsidRPr="00EF0C27">
              <w:rPr>
                <w:rFonts w:ascii="Arial" w:eastAsia="Times New Roman" w:hAnsi="Arial" w:cs="Arial"/>
                <w:b/>
                <w:bCs/>
                <w:color w:val="000000"/>
                <w:sz w:val="22"/>
                <w:szCs w:val="22"/>
                <w:lang w:eastAsia="en-GB"/>
              </w:rPr>
              <w:t>RURAL</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9C09755" w14:textId="77777777" w:rsidR="00EF0C27" w:rsidRPr="00EF0C27" w:rsidRDefault="00EF0C27" w:rsidP="00EF0C27">
            <w:pPr>
              <w:jc w:val="center"/>
              <w:rPr>
                <w:rFonts w:ascii="Arial" w:eastAsia="Times New Roman" w:hAnsi="Arial" w:cs="Arial"/>
                <w:b/>
                <w:bCs/>
                <w:color w:val="000000"/>
                <w:sz w:val="22"/>
                <w:szCs w:val="22"/>
                <w:lang w:eastAsia="en-GB"/>
              </w:rPr>
            </w:pPr>
            <w:r w:rsidRPr="00EF0C27">
              <w:rPr>
                <w:rFonts w:ascii="Arial" w:eastAsia="Times New Roman" w:hAnsi="Arial" w:cs="Arial"/>
                <w:b/>
                <w:bCs/>
                <w:color w:val="000000"/>
                <w:sz w:val="22"/>
                <w:szCs w:val="22"/>
                <w:lang w:eastAsia="en-GB"/>
              </w:rPr>
              <w:t>CITY/URBAN</w:t>
            </w:r>
          </w:p>
        </w:tc>
      </w:tr>
      <w:tr w:rsidR="00EF0C27" w:rsidRPr="00EF0C27" w14:paraId="5E36C5AE" w14:textId="77777777" w:rsidTr="00AB0313">
        <w:trPr>
          <w:trHeight w:val="28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DDA0F00" w14:textId="77777777" w:rsidR="00EF0C27" w:rsidRPr="00EF0C27" w:rsidRDefault="00EF0C27" w:rsidP="00EF0C27">
            <w:pPr>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CURRENT</w:t>
            </w:r>
          </w:p>
        </w:tc>
        <w:tc>
          <w:tcPr>
            <w:tcW w:w="2200" w:type="dxa"/>
            <w:tcBorders>
              <w:top w:val="nil"/>
              <w:left w:val="nil"/>
              <w:bottom w:val="single" w:sz="4" w:space="0" w:color="auto"/>
              <w:right w:val="single" w:sz="4" w:space="0" w:color="auto"/>
            </w:tcBorders>
            <w:shd w:val="clear" w:color="auto" w:fill="auto"/>
            <w:noWrap/>
            <w:vAlign w:val="bottom"/>
            <w:hideMark/>
          </w:tcPr>
          <w:p w14:paraId="417E5F46" w14:textId="77777777" w:rsidR="00EF0C27" w:rsidRPr="00EF0C27" w:rsidRDefault="00EF0C27" w:rsidP="00EF0C27">
            <w:pPr>
              <w:jc w:val="right"/>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57000</w:t>
            </w:r>
          </w:p>
        </w:tc>
        <w:tc>
          <w:tcPr>
            <w:tcW w:w="1460" w:type="dxa"/>
            <w:tcBorders>
              <w:top w:val="nil"/>
              <w:left w:val="nil"/>
              <w:bottom w:val="single" w:sz="4" w:space="0" w:color="auto"/>
              <w:right w:val="single" w:sz="4" w:space="0" w:color="auto"/>
            </w:tcBorders>
            <w:shd w:val="clear" w:color="auto" w:fill="auto"/>
            <w:noWrap/>
            <w:vAlign w:val="bottom"/>
            <w:hideMark/>
          </w:tcPr>
          <w:p w14:paraId="2819C5F7" w14:textId="77777777" w:rsidR="00EF0C27" w:rsidRPr="00EF0C27" w:rsidRDefault="00EF0C27" w:rsidP="00EF0C27">
            <w:pPr>
              <w:jc w:val="right"/>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57000</w:t>
            </w:r>
          </w:p>
        </w:tc>
        <w:tc>
          <w:tcPr>
            <w:tcW w:w="1900" w:type="dxa"/>
            <w:tcBorders>
              <w:top w:val="nil"/>
              <w:left w:val="nil"/>
              <w:bottom w:val="single" w:sz="4" w:space="0" w:color="auto"/>
              <w:right w:val="single" w:sz="4" w:space="0" w:color="auto"/>
            </w:tcBorders>
            <w:shd w:val="clear" w:color="auto" w:fill="auto"/>
            <w:noWrap/>
            <w:vAlign w:val="bottom"/>
            <w:hideMark/>
          </w:tcPr>
          <w:p w14:paraId="7FCC5DC8" w14:textId="77777777" w:rsidR="00EF0C27" w:rsidRPr="00EF0C27" w:rsidRDefault="00EF0C27" w:rsidP="00EF0C27">
            <w:pPr>
              <w:jc w:val="right"/>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57000</w:t>
            </w:r>
          </w:p>
        </w:tc>
      </w:tr>
      <w:tr w:rsidR="00EF0C27" w:rsidRPr="00EF0C27" w14:paraId="4220D46D" w14:textId="77777777" w:rsidTr="00AB0313">
        <w:trPr>
          <w:trHeight w:val="57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764A8025" w14:textId="77777777" w:rsidR="00EF0C27" w:rsidRPr="00EF0C27" w:rsidRDefault="00EF0C27" w:rsidP="00EF0C27">
            <w:pPr>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 xml:space="preserve">REDUCE DIFFERENTIAL TO CURRENT RSL SOCIAL RENT BY </w:t>
            </w:r>
            <w:commentRangeStart w:id="31"/>
            <w:r w:rsidRPr="00EF0C27">
              <w:rPr>
                <w:rFonts w:ascii="Arial" w:eastAsia="Times New Roman" w:hAnsi="Arial" w:cs="Arial"/>
                <w:color w:val="000000"/>
                <w:sz w:val="22"/>
                <w:szCs w:val="22"/>
                <w:lang w:eastAsia="en-GB"/>
              </w:rPr>
              <w:t>50%</w:t>
            </w:r>
            <w:commentRangeEnd w:id="31"/>
            <w:r w:rsidR="00E52B5C">
              <w:rPr>
                <w:rStyle w:val="CommentReference"/>
              </w:rPr>
              <w:commentReference w:id="31"/>
            </w:r>
          </w:p>
        </w:tc>
        <w:tc>
          <w:tcPr>
            <w:tcW w:w="2200" w:type="dxa"/>
            <w:tcBorders>
              <w:top w:val="nil"/>
              <w:left w:val="nil"/>
              <w:bottom w:val="single" w:sz="4" w:space="0" w:color="auto"/>
              <w:right w:val="single" w:sz="4" w:space="0" w:color="auto"/>
            </w:tcBorders>
            <w:shd w:val="clear" w:color="auto" w:fill="auto"/>
            <w:noWrap/>
            <w:vAlign w:val="bottom"/>
            <w:hideMark/>
          </w:tcPr>
          <w:p w14:paraId="232306C7" w14:textId="77777777" w:rsidR="00EF0C27" w:rsidRPr="00EF0C27" w:rsidRDefault="00EF0C27" w:rsidP="00EF0C27">
            <w:pPr>
              <w:jc w:val="right"/>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12500</w:t>
            </w:r>
          </w:p>
        </w:tc>
        <w:tc>
          <w:tcPr>
            <w:tcW w:w="1460" w:type="dxa"/>
            <w:tcBorders>
              <w:top w:val="nil"/>
              <w:left w:val="nil"/>
              <w:bottom w:val="single" w:sz="4" w:space="0" w:color="auto"/>
              <w:right w:val="single" w:sz="4" w:space="0" w:color="auto"/>
            </w:tcBorders>
            <w:shd w:val="clear" w:color="auto" w:fill="auto"/>
            <w:noWrap/>
            <w:vAlign w:val="bottom"/>
            <w:hideMark/>
          </w:tcPr>
          <w:p w14:paraId="11C7B32C" w14:textId="77777777" w:rsidR="00EF0C27" w:rsidRPr="00EF0C27" w:rsidRDefault="00EF0C27" w:rsidP="00EF0C27">
            <w:pPr>
              <w:jc w:val="right"/>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7500</w:t>
            </w:r>
          </w:p>
        </w:tc>
        <w:tc>
          <w:tcPr>
            <w:tcW w:w="1900" w:type="dxa"/>
            <w:tcBorders>
              <w:top w:val="nil"/>
              <w:left w:val="nil"/>
              <w:bottom w:val="single" w:sz="4" w:space="0" w:color="auto"/>
              <w:right w:val="single" w:sz="4" w:space="0" w:color="auto"/>
            </w:tcBorders>
            <w:shd w:val="clear" w:color="auto" w:fill="auto"/>
            <w:noWrap/>
            <w:vAlign w:val="bottom"/>
            <w:hideMark/>
          </w:tcPr>
          <w:p w14:paraId="35315F46" w14:textId="77777777" w:rsidR="00EF0C27" w:rsidRPr="00EF0C27" w:rsidRDefault="00EF0C27" w:rsidP="00EF0C27">
            <w:pPr>
              <w:jc w:val="right"/>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6500</w:t>
            </w:r>
          </w:p>
        </w:tc>
      </w:tr>
      <w:tr w:rsidR="00EF0C27" w:rsidRPr="00EF0C27" w14:paraId="08878C72" w14:textId="77777777" w:rsidTr="00AB0313">
        <w:trPr>
          <w:trHeight w:val="42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008224D4" w14:textId="77777777" w:rsidR="00EF0C27" w:rsidRPr="00EF0C27" w:rsidRDefault="00EF0C27" w:rsidP="00EF0C27">
            <w:pPr>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MIRROR GEOG DIFFERENTIAL</w:t>
            </w:r>
          </w:p>
        </w:tc>
        <w:tc>
          <w:tcPr>
            <w:tcW w:w="2200" w:type="dxa"/>
            <w:tcBorders>
              <w:top w:val="nil"/>
              <w:left w:val="nil"/>
              <w:bottom w:val="single" w:sz="4" w:space="0" w:color="auto"/>
              <w:right w:val="single" w:sz="4" w:space="0" w:color="auto"/>
            </w:tcBorders>
            <w:shd w:val="clear" w:color="auto" w:fill="auto"/>
            <w:noWrap/>
            <w:vAlign w:val="bottom"/>
            <w:hideMark/>
          </w:tcPr>
          <w:p w14:paraId="1BCB9A95" w14:textId="77777777" w:rsidR="00EF0C27" w:rsidRPr="00EF0C27" w:rsidRDefault="00EF0C27" w:rsidP="00EF0C27">
            <w:pPr>
              <w:jc w:val="right"/>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5000</w:t>
            </w:r>
          </w:p>
        </w:tc>
        <w:tc>
          <w:tcPr>
            <w:tcW w:w="1460" w:type="dxa"/>
            <w:tcBorders>
              <w:top w:val="nil"/>
              <w:left w:val="nil"/>
              <w:bottom w:val="single" w:sz="4" w:space="0" w:color="auto"/>
              <w:right w:val="single" w:sz="4" w:space="0" w:color="auto"/>
            </w:tcBorders>
            <w:shd w:val="clear" w:color="auto" w:fill="auto"/>
            <w:noWrap/>
            <w:vAlign w:val="bottom"/>
            <w:hideMark/>
          </w:tcPr>
          <w:p w14:paraId="6CF5F721" w14:textId="77777777" w:rsidR="00EF0C27" w:rsidRPr="00EF0C27" w:rsidRDefault="00EF0C27" w:rsidP="00EF0C27">
            <w:pPr>
              <w:jc w:val="right"/>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3000</w:t>
            </w:r>
          </w:p>
        </w:tc>
        <w:tc>
          <w:tcPr>
            <w:tcW w:w="1900" w:type="dxa"/>
            <w:tcBorders>
              <w:top w:val="nil"/>
              <w:left w:val="nil"/>
              <w:bottom w:val="single" w:sz="4" w:space="0" w:color="auto"/>
              <w:right w:val="single" w:sz="4" w:space="0" w:color="auto"/>
            </w:tcBorders>
            <w:shd w:val="clear" w:color="auto" w:fill="auto"/>
            <w:noWrap/>
            <w:vAlign w:val="bottom"/>
            <w:hideMark/>
          </w:tcPr>
          <w:p w14:paraId="3316B0C0" w14:textId="77777777" w:rsidR="00EF0C27" w:rsidRPr="00EF0C27" w:rsidRDefault="00EF0C27" w:rsidP="00EF0C27">
            <w:pPr>
              <w:jc w:val="right"/>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0</w:t>
            </w:r>
          </w:p>
        </w:tc>
      </w:tr>
      <w:tr w:rsidR="00EF0C27" w:rsidRPr="00EF0C27" w14:paraId="5F29CDBA" w14:textId="77777777" w:rsidTr="00AB0313">
        <w:trPr>
          <w:trHeight w:val="28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323AAF5" w14:textId="77777777" w:rsidR="00EF0C27" w:rsidRPr="00EF0C27" w:rsidRDefault="00EF0C27" w:rsidP="00EF0C27">
            <w:pPr>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SUB-TOTAL</w:t>
            </w:r>
          </w:p>
        </w:tc>
        <w:tc>
          <w:tcPr>
            <w:tcW w:w="2200" w:type="dxa"/>
            <w:tcBorders>
              <w:top w:val="nil"/>
              <w:left w:val="nil"/>
              <w:bottom w:val="single" w:sz="4" w:space="0" w:color="auto"/>
              <w:right w:val="single" w:sz="4" w:space="0" w:color="auto"/>
            </w:tcBorders>
            <w:shd w:val="clear" w:color="auto" w:fill="auto"/>
            <w:noWrap/>
            <w:vAlign w:val="bottom"/>
            <w:hideMark/>
          </w:tcPr>
          <w:p w14:paraId="1A626607" w14:textId="77777777" w:rsidR="00EF0C27" w:rsidRPr="00EF0C27" w:rsidRDefault="00EF0C27" w:rsidP="00EF0C27">
            <w:pPr>
              <w:jc w:val="right"/>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74500</w:t>
            </w:r>
          </w:p>
        </w:tc>
        <w:tc>
          <w:tcPr>
            <w:tcW w:w="1460" w:type="dxa"/>
            <w:tcBorders>
              <w:top w:val="nil"/>
              <w:left w:val="nil"/>
              <w:bottom w:val="single" w:sz="4" w:space="0" w:color="auto"/>
              <w:right w:val="single" w:sz="4" w:space="0" w:color="auto"/>
            </w:tcBorders>
            <w:shd w:val="clear" w:color="auto" w:fill="auto"/>
            <w:noWrap/>
            <w:vAlign w:val="bottom"/>
            <w:hideMark/>
          </w:tcPr>
          <w:p w14:paraId="4BF0D908" w14:textId="77777777" w:rsidR="00EF0C27" w:rsidRPr="00EF0C27" w:rsidRDefault="00EF0C27" w:rsidP="00EF0C27">
            <w:pPr>
              <w:jc w:val="right"/>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67500</w:t>
            </w:r>
          </w:p>
        </w:tc>
        <w:tc>
          <w:tcPr>
            <w:tcW w:w="1900" w:type="dxa"/>
            <w:tcBorders>
              <w:top w:val="nil"/>
              <w:left w:val="nil"/>
              <w:bottom w:val="single" w:sz="4" w:space="0" w:color="auto"/>
              <w:right w:val="single" w:sz="4" w:space="0" w:color="auto"/>
            </w:tcBorders>
            <w:shd w:val="clear" w:color="auto" w:fill="auto"/>
            <w:noWrap/>
            <w:vAlign w:val="bottom"/>
            <w:hideMark/>
          </w:tcPr>
          <w:p w14:paraId="71C2F47A" w14:textId="77777777" w:rsidR="00EF0C27" w:rsidRPr="00EF0C27" w:rsidRDefault="00EF0C27" w:rsidP="00EF0C27">
            <w:pPr>
              <w:jc w:val="right"/>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63500</w:t>
            </w:r>
          </w:p>
        </w:tc>
      </w:tr>
      <w:tr w:rsidR="00EF0C27" w:rsidRPr="00EF0C27" w14:paraId="4DC4EA83" w14:textId="77777777" w:rsidTr="00AB0313">
        <w:trPr>
          <w:trHeight w:val="28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1C63781" w14:textId="77777777" w:rsidR="00EF0C27" w:rsidRPr="00EF0C27" w:rsidRDefault="00EF0C27" w:rsidP="00EF0C27">
            <w:pPr>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INFLATION AT 3%</w:t>
            </w:r>
          </w:p>
        </w:tc>
        <w:tc>
          <w:tcPr>
            <w:tcW w:w="2200" w:type="dxa"/>
            <w:tcBorders>
              <w:top w:val="nil"/>
              <w:left w:val="nil"/>
              <w:bottom w:val="single" w:sz="4" w:space="0" w:color="auto"/>
              <w:right w:val="single" w:sz="4" w:space="0" w:color="auto"/>
            </w:tcBorders>
            <w:shd w:val="clear" w:color="auto" w:fill="auto"/>
            <w:noWrap/>
            <w:vAlign w:val="bottom"/>
            <w:hideMark/>
          </w:tcPr>
          <w:p w14:paraId="0C4C2F07" w14:textId="77777777" w:rsidR="00EF0C27" w:rsidRPr="00EF0C27" w:rsidRDefault="00EF0C27" w:rsidP="00EF0C27">
            <w:pPr>
              <w:jc w:val="right"/>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2235</w:t>
            </w:r>
          </w:p>
        </w:tc>
        <w:tc>
          <w:tcPr>
            <w:tcW w:w="1460" w:type="dxa"/>
            <w:tcBorders>
              <w:top w:val="nil"/>
              <w:left w:val="nil"/>
              <w:bottom w:val="single" w:sz="4" w:space="0" w:color="auto"/>
              <w:right w:val="single" w:sz="4" w:space="0" w:color="auto"/>
            </w:tcBorders>
            <w:shd w:val="clear" w:color="auto" w:fill="auto"/>
            <w:noWrap/>
            <w:vAlign w:val="bottom"/>
            <w:hideMark/>
          </w:tcPr>
          <w:p w14:paraId="61B4C6E1" w14:textId="77777777" w:rsidR="00EF0C27" w:rsidRPr="00EF0C27" w:rsidRDefault="00EF0C27" w:rsidP="00EF0C27">
            <w:pPr>
              <w:jc w:val="right"/>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2025</w:t>
            </w:r>
          </w:p>
        </w:tc>
        <w:tc>
          <w:tcPr>
            <w:tcW w:w="1900" w:type="dxa"/>
            <w:tcBorders>
              <w:top w:val="nil"/>
              <w:left w:val="nil"/>
              <w:bottom w:val="single" w:sz="4" w:space="0" w:color="auto"/>
              <w:right w:val="single" w:sz="4" w:space="0" w:color="auto"/>
            </w:tcBorders>
            <w:shd w:val="clear" w:color="auto" w:fill="auto"/>
            <w:noWrap/>
            <w:vAlign w:val="bottom"/>
            <w:hideMark/>
          </w:tcPr>
          <w:p w14:paraId="6F3E8D70" w14:textId="77777777" w:rsidR="00EF0C27" w:rsidRPr="00EF0C27" w:rsidRDefault="00EF0C27" w:rsidP="00EF0C27">
            <w:pPr>
              <w:jc w:val="right"/>
              <w:rPr>
                <w:rFonts w:ascii="Arial" w:eastAsia="Times New Roman" w:hAnsi="Arial" w:cs="Arial"/>
                <w:color w:val="000000"/>
                <w:sz w:val="22"/>
                <w:szCs w:val="22"/>
                <w:lang w:eastAsia="en-GB"/>
              </w:rPr>
            </w:pPr>
            <w:r w:rsidRPr="00EF0C27">
              <w:rPr>
                <w:rFonts w:ascii="Arial" w:eastAsia="Times New Roman" w:hAnsi="Arial" w:cs="Arial"/>
                <w:color w:val="000000"/>
                <w:sz w:val="22"/>
                <w:szCs w:val="22"/>
                <w:lang w:eastAsia="en-GB"/>
              </w:rPr>
              <w:t>1905</w:t>
            </w:r>
          </w:p>
        </w:tc>
      </w:tr>
      <w:tr w:rsidR="00EF0C27" w:rsidRPr="00EF0C27" w14:paraId="011971A5" w14:textId="77777777" w:rsidTr="00AB0313">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66581ED" w14:textId="77777777" w:rsidR="00EF0C27" w:rsidRPr="00EF0C27" w:rsidRDefault="00EF0C27" w:rsidP="00EF0C27">
            <w:pPr>
              <w:rPr>
                <w:rFonts w:ascii="Arial" w:eastAsia="Times New Roman" w:hAnsi="Arial" w:cs="Arial"/>
                <w:b/>
                <w:bCs/>
                <w:color w:val="000000"/>
                <w:sz w:val="22"/>
                <w:szCs w:val="22"/>
                <w:lang w:eastAsia="en-GB"/>
              </w:rPr>
            </w:pPr>
            <w:r w:rsidRPr="00EF0C27">
              <w:rPr>
                <w:rFonts w:ascii="Arial" w:eastAsia="Times New Roman" w:hAnsi="Arial" w:cs="Arial"/>
                <w:b/>
                <w:bCs/>
                <w:color w:val="000000"/>
                <w:sz w:val="22"/>
                <w:szCs w:val="22"/>
                <w:lang w:eastAsia="en-GB"/>
              </w:rPr>
              <w:t>NEW BENCHMARK</w:t>
            </w:r>
          </w:p>
        </w:tc>
        <w:tc>
          <w:tcPr>
            <w:tcW w:w="2200" w:type="dxa"/>
            <w:tcBorders>
              <w:top w:val="nil"/>
              <w:left w:val="nil"/>
              <w:bottom w:val="single" w:sz="4" w:space="0" w:color="auto"/>
              <w:right w:val="single" w:sz="4" w:space="0" w:color="auto"/>
            </w:tcBorders>
            <w:shd w:val="clear" w:color="auto" w:fill="auto"/>
            <w:noWrap/>
            <w:vAlign w:val="bottom"/>
            <w:hideMark/>
          </w:tcPr>
          <w:p w14:paraId="4F362EDF" w14:textId="77777777" w:rsidR="00EF0C27" w:rsidRPr="00EF0C27" w:rsidRDefault="00EF0C27" w:rsidP="00EF0C27">
            <w:pPr>
              <w:jc w:val="right"/>
              <w:rPr>
                <w:rFonts w:ascii="Arial" w:eastAsia="Times New Roman" w:hAnsi="Arial" w:cs="Arial"/>
                <w:b/>
                <w:bCs/>
                <w:color w:val="000000"/>
                <w:sz w:val="22"/>
                <w:szCs w:val="22"/>
                <w:lang w:eastAsia="en-GB"/>
              </w:rPr>
            </w:pPr>
            <w:r w:rsidRPr="00EF0C27">
              <w:rPr>
                <w:rFonts w:ascii="Arial" w:eastAsia="Times New Roman" w:hAnsi="Arial" w:cs="Arial"/>
                <w:b/>
                <w:bCs/>
                <w:color w:val="000000"/>
                <w:sz w:val="22"/>
                <w:szCs w:val="22"/>
                <w:lang w:eastAsia="en-GB"/>
              </w:rPr>
              <w:t>76735</w:t>
            </w:r>
          </w:p>
        </w:tc>
        <w:tc>
          <w:tcPr>
            <w:tcW w:w="1460" w:type="dxa"/>
            <w:tcBorders>
              <w:top w:val="nil"/>
              <w:left w:val="nil"/>
              <w:bottom w:val="single" w:sz="4" w:space="0" w:color="auto"/>
              <w:right w:val="single" w:sz="4" w:space="0" w:color="auto"/>
            </w:tcBorders>
            <w:shd w:val="clear" w:color="auto" w:fill="auto"/>
            <w:noWrap/>
            <w:vAlign w:val="bottom"/>
            <w:hideMark/>
          </w:tcPr>
          <w:p w14:paraId="6CB10FAE" w14:textId="77777777" w:rsidR="00EF0C27" w:rsidRPr="00EF0C27" w:rsidRDefault="00EF0C27" w:rsidP="00EF0C27">
            <w:pPr>
              <w:jc w:val="right"/>
              <w:rPr>
                <w:rFonts w:ascii="Arial" w:eastAsia="Times New Roman" w:hAnsi="Arial" w:cs="Arial"/>
                <w:b/>
                <w:bCs/>
                <w:color w:val="000000"/>
                <w:sz w:val="22"/>
                <w:szCs w:val="22"/>
                <w:lang w:eastAsia="en-GB"/>
              </w:rPr>
            </w:pPr>
            <w:r w:rsidRPr="00EF0C27">
              <w:rPr>
                <w:rFonts w:ascii="Arial" w:eastAsia="Times New Roman" w:hAnsi="Arial" w:cs="Arial"/>
                <w:b/>
                <w:bCs/>
                <w:color w:val="000000"/>
                <w:sz w:val="22"/>
                <w:szCs w:val="22"/>
                <w:lang w:eastAsia="en-GB"/>
              </w:rPr>
              <w:t>69525</w:t>
            </w:r>
          </w:p>
        </w:tc>
        <w:tc>
          <w:tcPr>
            <w:tcW w:w="1900" w:type="dxa"/>
            <w:tcBorders>
              <w:top w:val="nil"/>
              <w:left w:val="nil"/>
              <w:bottom w:val="single" w:sz="4" w:space="0" w:color="auto"/>
              <w:right w:val="single" w:sz="4" w:space="0" w:color="auto"/>
            </w:tcBorders>
            <w:shd w:val="clear" w:color="auto" w:fill="auto"/>
            <w:noWrap/>
            <w:vAlign w:val="bottom"/>
            <w:hideMark/>
          </w:tcPr>
          <w:p w14:paraId="5FB36AEA" w14:textId="77777777" w:rsidR="00EF0C27" w:rsidRPr="00EF0C27" w:rsidRDefault="00EF0C27" w:rsidP="00EF0C27">
            <w:pPr>
              <w:jc w:val="right"/>
              <w:rPr>
                <w:rFonts w:ascii="Arial" w:eastAsia="Times New Roman" w:hAnsi="Arial" w:cs="Arial"/>
                <w:b/>
                <w:bCs/>
                <w:color w:val="000000"/>
                <w:sz w:val="22"/>
                <w:szCs w:val="22"/>
                <w:lang w:eastAsia="en-GB"/>
              </w:rPr>
            </w:pPr>
            <w:r w:rsidRPr="00EF0C27">
              <w:rPr>
                <w:rFonts w:ascii="Arial" w:eastAsia="Times New Roman" w:hAnsi="Arial" w:cs="Arial"/>
                <w:b/>
                <w:bCs/>
                <w:color w:val="000000"/>
                <w:sz w:val="22"/>
                <w:szCs w:val="22"/>
                <w:lang w:eastAsia="en-GB"/>
              </w:rPr>
              <w:t>65405</w:t>
            </w:r>
          </w:p>
        </w:tc>
      </w:tr>
    </w:tbl>
    <w:p w14:paraId="48298A3A" w14:textId="77777777" w:rsidR="00EF0C27" w:rsidRPr="00EF0C27" w:rsidRDefault="00EF0C27" w:rsidP="00EF0C27">
      <w:pPr>
        <w:rPr>
          <w:rFonts w:ascii="Arial" w:eastAsia="Times New Roman" w:hAnsi="Arial" w:cs="Times New Roman"/>
          <w:b/>
          <w:szCs w:val="20"/>
        </w:rPr>
      </w:pPr>
    </w:p>
    <w:p w14:paraId="7CA8B141" w14:textId="77777777" w:rsidR="00EF0C27" w:rsidRDefault="00EF0C27">
      <w:pPr>
        <w:rPr>
          <w:rFonts w:ascii="Arial" w:hAnsi="Arial" w:cs="Arial"/>
          <w:b/>
        </w:rPr>
      </w:pPr>
    </w:p>
    <w:p w14:paraId="6EA4FC47" w14:textId="77777777" w:rsidR="00EF0C27" w:rsidRDefault="00EF0C27">
      <w:pPr>
        <w:rPr>
          <w:rFonts w:ascii="Arial" w:hAnsi="Arial" w:cs="Arial"/>
          <w:b/>
        </w:rPr>
      </w:pPr>
    </w:p>
    <w:p w14:paraId="4A6F1EC3" w14:textId="77777777" w:rsidR="00EF0C27" w:rsidRPr="00EF0C27" w:rsidRDefault="00EF0C27">
      <w:pPr>
        <w:rPr>
          <w:rFonts w:ascii="Arial" w:hAnsi="Arial" w:cs="Arial"/>
          <w:b/>
        </w:rPr>
      </w:pPr>
      <w:r w:rsidRPr="00EF0C27">
        <w:rPr>
          <w:rFonts w:ascii="Arial" w:hAnsi="Arial" w:cs="Arial"/>
          <w:b/>
        </w:rPr>
        <w:t>Council Social Rent – Comparison of Existing and Proposed Benchmarks</w:t>
      </w:r>
    </w:p>
    <w:p w14:paraId="23FBF921" w14:textId="77777777" w:rsidR="00EF0C27" w:rsidRDefault="00EF0C27">
      <w:pPr>
        <w:rPr>
          <w:rFonts w:ascii="Arial" w:hAnsi="Arial" w:cs="Arial"/>
        </w:rPr>
      </w:pPr>
    </w:p>
    <w:tbl>
      <w:tblPr>
        <w:tblStyle w:val="TableGrid"/>
        <w:tblW w:w="0" w:type="auto"/>
        <w:tblLook w:val="04A0" w:firstRow="1" w:lastRow="0" w:firstColumn="1" w:lastColumn="0" w:noHBand="0" w:noVBand="1"/>
      </w:tblPr>
      <w:tblGrid>
        <w:gridCol w:w="3823"/>
        <w:gridCol w:w="1701"/>
        <w:gridCol w:w="1559"/>
        <w:gridCol w:w="1693"/>
      </w:tblGrid>
      <w:tr w:rsidR="00EF0C27" w:rsidRPr="00EF0C27" w14:paraId="1EEA8788" w14:textId="77777777" w:rsidTr="00AB0313">
        <w:tc>
          <w:tcPr>
            <w:tcW w:w="3823" w:type="dxa"/>
          </w:tcPr>
          <w:p w14:paraId="14913C1C" w14:textId="77777777" w:rsidR="00EF0C27" w:rsidRPr="00EF0C27" w:rsidRDefault="00EF0C27" w:rsidP="00EF0C27">
            <w:pPr>
              <w:rPr>
                <w:rFonts w:ascii="Arial" w:hAnsi="Arial" w:cs="Arial"/>
              </w:rPr>
            </w:pPr>
          </w:p>
        </w:tc>
        <w:tc>
          <w:tcPr>
            <w:tcW w:w="1701" w:type="dxa"/>
          </w:tcPr>
          <w:p w14:paraId="22BBBED6" w14:textId="77777777" w:rsidR="00EF0C27" w:rsidRPr="00EF0C27" w:rsidRDefault="00EF0C27" w:rsidP="00EF0C27">
            <w:pPr>
              <w:rPr>
                <w:rFonts w:ascii="Arial" w:hAnsi="Arial" w:cs="Arial"/>
                <w:b/>
              </w:rPr>
            </w:pPr>
            <w:r w:rsidRPr="00EF0C27">
              <w:rPr>
                <w:rFonts w:ascii="Arial" w:hAnsi="Arial" w:cs="Arial"/>
                <w:b/>
              </w:rPr>
              <w:t>Remote Rural</w:t>
            </w:r>
          </w:p>
        </w:tc>
        <w:tc>
          <w:tcPr>
            <w:tcW w:w="1559" w:type="dxa"/>
          </w:tcPr>
          <w:p w14:paraId="1794E838" w14:textId="77777777" w:rsidR="00EF0C27" w:rsidRPr="00EF0C27" w:rsidRDefault="00EF0C27" w:rsidP="00EF0C27">
            <w:pPr>
              <w:rPr>
                <w:rFonts w:ascii="Arial" w:hAnsi="Arial" w:cs="Arial"/>
                <w:b/>
              </w:rPr>
            </w:pPr>
            <w:r w:rsidRPr="00EF0C27">
              <w:rPr>
                <w:rFonts w:ascii="Arial" w:hAnsi="Arial" w:cs="Arial"/>
                <w:b/>
              </w:rPr>
              <w:t>Other Rural</w:t>
            </w:r>
          </w:p>
        </w:tc>
        <w:tc>
          <w:tcPr>
            <w:tcW w:w="1693" w:type="dxa"/>
          </w:tcPr>
          <w:p w14:paraId="469D62F7" w14:textId="77777777" w:rsidR="00EF0C27" w:rsidRPr="00EF0C27" w:rsidRDefault="00EF0C27" w:rsidP="00EF0C27">
            <w:pPr>
              <w:rPr>
                <w:rFonts w:ascii="Arial" w:hAnsi="Arial" w:cs="Arial"/>
                <w:b/>
              </w:rPr>
            </w:pPr>
            <w:r w:rsidRPr="00EF0C27">
              <w:rPr>
                <w:rFonts w:ascii="Arial" w:hAnsi="Arial" w:cs="Arial"/>
                <w:b/>
              </w:rPr>
              <w:t>City/Urban</w:t>
            </w:r>
          </w:p>
        </w:tc>
      </w:tr>
      <w:tr w:rsidR="00EF0C27" w:rsidRPr="00EF0C27" w14:paraId="10FD3668" w14:textId="77777777" w:rsidTr="00AB0313">
        <w:tc>
          <w:tcPr>
            <w:tcW w:w="3823" w:type="dxa"/>
          </w:tcPr>
          <w:p w14:paraId="265E322B" w14:textId="77777777" w:rsidR="00EF0C27" w:rsidRPr="00EF0C27" w:rsidRDefault="00EF0C27" w:rsidP="00EF0C27">
            <w:pPr>
              <w:rPr>
                <w:rFonts w:ascii="Arial" w:hAnsi="Arial" w:cs="Arial"/>
              </w:rPr>
            </w:pPr>
            <w:r w:rsidRPr="00EF0C27">
              <w:rPr>
                <w:rFonts w:ascii="Arial" w:hAnsi="Arial" w:cs="Arial"/>
              </w:rPr>
              <w:t xml:space="preserve">Current council benchmark </w:t>
            </w:r>
          </w:p>
          <w:p w14:paraId="06B75339" w14:textId="77777777" w:rsidR="00EF0C27" w:rsidRPr="00EF0C27" w:rsidRDefault="00EF0C27" w:rsidP="00EF0C27">
            <w:pPr>
              <w:rPr>
                <w:rFonts w:ascii="Arial" w:hAnsi="Arial" w:cs="Arial"/>
              </w:rPr>
            </w:pPr>
            <w:r w:rsidRPr="00EF0C27">
              <w:rPr>
                <w:rFonts w:ascii="Arial" w:hAnsi="Arial" w:cs="Arial"/>
              </w:rPr>
              <w:t>(</w:t>
            </w:r>
            <w:proofErr w:type="gramStart"/>
            <w:r w:rsidRPr="00EF0C27">
              <w:rPr>
                <w:rFonts w:ascii="Arial" w:hAnsi="Arial" w:cs="Arial"/>
              </w:rPr>
              <w:t>flat</w:t>
            </w:r>
            <w:proofErr w:type="gramEnd"/>
            <w:r w:rsidRPr="00EF0C27">
              <w:rPr>
                <w:rFonts w:ascii="Arial" w:hAnsi="Arial" w:cs="Arial"/>
              </w:rPr>
              <w:t xml:space="preserve"> rate)</w:t>
            </w:r>
          </w:p>
        </w:tc>
        <w:tc>
          <w:tcPr>
            <w:tcW w:w="1701" w:type="dxa"/>
          </w:tcPr>
          <w:p w14:paraId="42005CA4" w14:textId="77777777" w:rsidR="00EF0C27" w:rsidRPr="00EF0C27" w:rsidRDefault="00EF0C27" w:rsidP="00EF0C27">
            <w:pPr>
              <w:rPr>
                <w:rFonts w:ascii="Arial" w:hAnsi="Arial" w:cs="Arial"/>
              </w:rPr>
            </w:pPr>
            <w:r w:rsidRPr="00EF0C27">
              <w:rPr>
                <w:rFonts w:ascii="Arial" w:hAnsi="Arial" w:cs="Arial"/>
              </w:rPr>
              <w:t>£ 57,000</w:t>
            </w:r>
          </w:p>
        </w:tc>
        <w:tc>
          <w:tcPr>
            <w:tcW w:w="1559" w:type="dxa"/>
          </w:tcPr>
          <w:p w14:paraId="22EEDC7E" w14:textId="77777777" w:rsidR="00EF0C27" w:rsidRPr="00EF0C27" w:rsidRDefault="00EF0C27" w:rsidP="00EF0C27">
            <w:pPr>
              <w:rPr>
                <w:rFonts w:ascii="Arial" w:hAnsi="Arial" w:cs="Arial"/>
              </w:rPr>
            </w:pPr>
            <w:r w:rsidRPr="00EF0C27">
              <w:rPr>
                <w:rFonts w:ascii="Arial" w:hAnsi="Arial" w:cs="Arial"/>
              </w:rPr>
              <w:t>£ 57,000</w:t>
            </w:r>
          </w:p>
        </w:tc>
        <w:tc>
          <w:tcPr>
            <w:tcW w:w="1693" w:type="dxa"/>
          </w:tcPr>
          <w:p w14:paraId="408D8A3E" w14:textId="77777777" w:rsidR="00EF0C27" w:rsidRPr="00EF0C27" w:rsidRDefault="00EF0C27" w:rsidP="00EF0C27">
            <w:pPr>
              <w:rPr>
                <w:rFonts w:ascii="Arial" w:hAnsi="Arial" w:cs="Arial"/>
              </w:rPr>
            </w:pPr>
            <w:r w:rsidRPr="00EF0C27">
              <w:rPr>
                <w:rFonts w:ascii="Arial" w:hAnsi="Arial" w:cs="Arial"/>
              </w:rPr>
              <w:t>£ 57,000</w:t>
            </w:r>
          </w:p>
        </w:tc>
      </w:tr>
      <w:tr w:rsidR="00EF0C27" w:rsidRPr="00EF0C27" w14:paraId="44BC49FA" w14:textId="77777777" w:rsidTr="00AB0313">
        <w:tc>
          <w:tcPr>
            <w:tcW w:w="3823" w:type="dxa"/>
          </w:tcPr>
          <w:p w14:paraId="5D1CEB01" w14:textId="77777777" w:rsidR="00EF0C27" w:rsidRPr="00EF0C27" w:rsidRDefault="00EF0C27" w:rsidP="00EF0C27">
            <w:pPr>
              <w:rPr>
                <w:rFonts w:ascii="Arial" w:hAnsi="Arial" w:cs="Arial"/>
              </w:rPr>
            </w:pPr>
            <w:r w:rsidRPr="00EF0C27">
              <w:rPr>
                <w:rFonts w:ascii="Arial" w:hAnsi="Arial" w:cs="Arial"/>
              </w:rPr>
              <w:t xml:space="preserve">Proposed </w:t>
            </w:r>
            <w:proofErr w:type="gramStart"/>
            <w:r w:rsidRPr="00EF0C27">
              <w:rPr>
                <w:rFonts w:ascii="Arial" w:hAnsi="Arial" w:cs="Arial"/>
              </w:rPr>
              <w:t>benchmarks</w:t>
            </w:r>
            <w:proofErr w:type="gramEnd"/>
            <w:r w:rsidRPr="00EF0C27">
              <w:rPr>
                <w:rFonts w:ascii="Arial" w:hAnsi="Arial" w:cs="Arial"/>
              </w:rPr>
              <w:t xml:space="preserve"> </w:t>
            </w:r>
          </w:p>
          <w:p w14:paraId="39705A2F" w14:textId="77777777" w:rsidR="00EF0C27" w:rsidRPr="00EF0C27" w:rsidRDefault="00EF0C27" w:rsidP="00EF0C27">
            <w:pPr>
              <w:rPr>
                <w:rFonts w:ascii="Arial" w:hAnsi="Arial" w:cs="Arial"/>
              </w:rPr>
            </w:pPr>
            <w:r w:rsidRPr="00EF0C27">
              <w:rPr>
                <w:rFonts w:ascii="Arial" w:hAnsi="Arial" w:cs="Arial"/>
              </w:rPr>
              <w:t>(</w:t>
            </w:r>
            <w:proofErr w:type="gramStart"/>
            <w:r w:rsidRPr="00EF0C27">
              <w:rPr>
                <w:rFonts w:ascii="Arial" w:hAnsi="Arial" w:cs="Arial"/>
              </w:rPr>
              <w:t>3 person</w:t>
            </w:r>
            <w:proofErr w:type="gramEnd"/>
            <w:r w:rsidRPr="00EF0C27">
              <w:rPr>
                <w:rFonts w:ascii="Arial" w:hAnsi="Arial" w:cs="Arial"/>
              </w:rPr>
              <w:t xml:space="preserve"> equivalent)</w:t>
            </w:r>
          </w:p>
        </w:tc>
        <w:tc>
          <w:tcPr>
            <w:tcW w:w="1701" w:type="dxa"/>
          </w:tcPr>
          <w:p w14:paraId="2640883B" w14:textId="77777777" w:rsidR="00EF0C27" w:rsidRPr="00EF0C27" w:rsidRDefault="00EF0C27" w:rsidP="00EF0C27">
            <w:pPr>
              <w:rPr>
                <w:rFonts w:ascii="Arial" w:hAnsi="Arial" w:cs="Arial"/>
              </w:rPr>
            </w:pPr>
            <w:r w:rsidRPr="00EF0C27">
              <w:rPr>
                <w:rFonts w:ascii="Arial" w:hAnsi="Arial" w:cs="Arial"/>
              </w:rPr>
              <w:t>£76,375</w:t>
            </w:r>
          </w:p>
          <w:p w14:paraId="14B6FA08" w14:textId="77777777" w:rsidR="00EF0C27" w:rsidRPr="00EF0C27" w:rsidRDefault="00EF0C27" w:rsidP="00EF0C27">
            <w:pPr>
              <w:rPr>
                <w:rFonts w:ascii="Arial" w:hAnsi="Arial" w:cs="Arial"/>
              </w:rPr>
            </w:pPr>
          </w:p>
        </w:tc>
        <w:tc>
          <w:tcPr>
            <w:tcW w:w="1559" w:type="dxa"/>
          </w:tcPr>
          <w:p w14:paraId="4AA2BA08" w14:textId="77777777" w:rsidR="00EF0C27" w:rsidRPr="00EF0C27" w:rsidRDefault="00EF0C27" w:rsidP="00EF0C27">
            <w:pPr>
              <w:rPr>
                <w:rFonts w:ascii="Arial" w:hAnsi="Arial" w:cs="Arial"/>
              </w:rPr>
            </w:pPr>
            <w:r w:rsidRPr="00EF0C27">
              <w:rPr>
                <w:rFonts w:ascii="Arial" w:hAnsi="Arial" w:cs="Arial"/>
              </w:rPr>
              <w:t>£69,525</w:t>
            </w:r>
          </w:p>
          <w:p w14:paraId="5FC7966D" w14:textId="77777777" w:rsidR="00EF0C27" w:rsidRPr="00EF0C27" w:rsidRDefault="00EF0C27" w:rsidP="00EF0C27">
            <w:pPr>
              <w:rPr>
                <w:rFonts w:ascii="Arial" w:hAnsi="Arial" w:cs="Arial"/>
              </w:rPr>
            </w:pPr>
          </w:p>
        </w:tc>
        <w:tc>
          <w:tcPr>
            <w:tcW w:w="1693" w:type="dxa"/>
          </w:tcPr>
          <w:p w14:paraId="06E2C56B" w14:textId="77777777" w:rsidR="00EF0C27" w:rsidRPr="00EF0C27" w:rsidRDefault="00EF0C27" w:rsidP="00EF0C27">
            <w:pPr>
              <w:rPr>
                <w:rFonts w:ascii="Arial" w:hAnsi="Arial" w:cs="Arial"/>
              </w:rPr>
            </w:pPr>
            <w:r w:rsidRPr="00EF0C27">
              <w:rPr>
                <w:rFonts w:ascii="Arial" w:hAnsi="Arial" w:cs="Arial"/>
              </w:rPr>
              <w:t>£65,405</w:t>
            </w:r>
          </w:p>
        </w:tc>
      </w:tr>
      <w:tr w:rsidR="00EF0C27" w:rsidRPr="00EF0C27" w14:paraId="3A01299C" w14:textId="77777777" w:rsidTr="00AB0313">
        <w:tc>
          <w:tcPr>
            <w:tcW w:w="3823" w:type="dxa"/>
            <w:shd w:val="clear" w:color="auto" w:fill="FFFF00"/>
          </w:tcPr>
          <w:p w14:paraId="066EC6D4" w14:textId="77777777" w:rsidR="00EF0C27" w:rsidRPr="00EF0C27" w:rsidRDefault="00EF0C27" w:rsidP="00EF0C27">
            <w:pPr>
              <w:rPr>
                <w:rFonts w:ascii="Arial" w:hAnsi="Arial" w:cs="Arial"/>
              </w:rPr>
            </w:pPr>
            <w:r w:rsidRPr="00EF0C27">
              <w:rPr>
                <w:rFonts w:ascii="Arial" w:hAnsi="Arial" w:cs="Arial"/>
              </w:rPr>
              <w:t>Difference</w:t>
            </w:r>
          </w:p>
        </w:tc>
        <w:tc>
          <w:tcPr>
            <w:tcW w:w="1701" w:type="dxa"/>
            <w:shd w:val="clear" w:color="auto" w:fill="FFFF00"/>
          </w:tcPr>
          <w:p w14:paraId="62CE5FAC" w14:textId="77777777" w:rsidR="00EF0C27" w:rsidRPr="00EF0C27" w:rsidRDefault="00EF0C27" w:rsidP="00EF0C27">
            <w:pPr>
              <w:rPr>
                <w:rFonts w:ascii="Arial" w:hAnsi="Arial" w:cs="Arial"/>
              </w:rPr>
            </w:pPr>
            <w:r w:rsidRPr="00EF0C27">
              <w:rPr>
                <w:rFonts w:ascii="Arial" w:hAnsi="Arial" w:cs="Arial"/>
              </w:rPr>
              <w:t>+ £19,375</w:t>
            </w:r>
          </w:p>
        </w:tc>
        <w:tc>
          <w:tcPr>
            <w:tcW w:w="1559" w:type="dxa"/>
            <w:shd w:val="clear" w:color="auto" w:fill="FFFF00"/>
          </w:tcPr>
          <w:p w14:paraId="22392D37" w14:textId="77777777" w:rsidR="00EF0C27" w:rsidRPr="00EF0C27" w:rsidRDefault="00EF0C27" w:rsidP="00EF0C27">
            <w:pPr>
              <w:rPr>
                <w:rFonts w:ascii="Arial" w:hAnsi="Arial" w:cs="Arial"/>
              </w:rPr>
            </w:pPr>
            <w:r w:rsidRPr="00EF0C27">
              <w:rPr>
                <w:rFonts w:ascii="Arial" w:hAnsi="Arial" w:cs="Arial"/>
              </w:rPr>
              <w:t>+ £12,525</w:t>
            </w:r>
          </w:p>
        </w:tc>
        <w:tc>
          <w:tcPr>
            <w:tcW w:w="1693" w:type="dxa"/>
            <w:shd w:val="clear" w:color="auto" w:fill="FFFF00"/>
          </w:tcPr>
          <w:p w14:paraId="068867C2" w14:textId="77777777" w:rsidR="00EF0C27" w:rsidRPr="00EF0C27" w:rsidRDefault="00EF0C27" w:rsidP="00EF0C27">
            <w:pPr>
              <w:rPr>
                <w:rFonts w:ascii="Arial" w:hAnsi="Arial" w:cs="Arial"/>
              </w:rPr>
            </w:pPr>
            <w:r w:rsidRPr="00EF0C27">
              <w:rPr>
                <w:rFonts w:ascii="Arial" w:hAnsi="Arial" w:cs="Arial"/>
              </w:rPr>
              <w:t>+ £8,405</w:t>
            </w:r>
          </w:p>
        </w:tc>
      </w:tr>
      <w:tr w:rsidR="00EF0C27" w:rsidRPr="00EF0C27" w14:paraId="2AA8C5E5" w14:textId="77777777" w:rsidTr="00AB0313">
        <w:tc>
          <w:tcPr>
            <w:tcW w:w="3823" w:type="dxa"/>
          </w:tcPr>
          <w:p w14:paraId="59A61EFC" w14:textId="77777777" w:rsidR="00EF0C27" w:rsidRPr="00EF0C27" w:rsidRDefault="00EF0C27" w:rsidP="00EF0C27">
            <w:pPr>
              <w:rPr>
                <w:rFonts w:ascii="Arial" w:hAnsi="Arial" w:cs="Arial"/>
              </w:rPr>
            </w:pPr>
            <w:r w:rsidRPr="00EF0C27">
              <w:rPr>
                <w:rFonts w:ascii="Arial" w:hAnsi="Arial" w:cs="Arial"/>
              </w:rPr>
              <w:t>Comparison to proposed RSL benchmarks</w:t>
            </w:r>
          </w:p>
        </w:tc>
        <w:tc>
          <w:tcPr>
            <w:tcW w:w="1701" w:type="dxa"/>
          </w:tcPr>
          <w:p w14:paraId="54FF972A" w14:textId="77777777" w:rsidR="00EF0C27" w:rsidRPr="00EF0C27" w:rsidRDefault="00EF0C27" w:rsidP="00EF0C27">
            <w:pPr>
              <w:rPr>
                <w:rFonts w:ascii="Arial" w:hAnsi="Arial" w:cs="Arial"/>
              </w:rPr>
            </w:pPr>
            <w:r w:rsidRPr="00EF0C27">
              <w:rPr>
                <w:rFonts w:ascii="Arial" w:hAnsi="Arial" w:cs="Arial"/>
              </w:rPr>
              <w:t>£89,610</w:t>
            </w:r>
          </w:p>
          <w:p w14:paraId="6C571C7E" w14:textId="77777777" w:rsidR="00EF0C27" w:rsidRPr="00EF0C27" w:rsidRDefault="00EF0C27" w:rsidP="00EF0C27">
            <w:pPr>
              <w:rPr>
                <w:rFonts w:ascii="Arial" w:hAnsi="Arial" w:cs="Arial"/>
              </w:rPr>
            </w:pPr>
            <w:r w:rsidRPr="00EF0C27">
              <w:rPr>
                <w:rFonts w:ascii="Arial" w:hAnsi="Arial" w:cs="Arial"/>
              </w:rPr>
              <w:t>(85%)</w:t>
            </w:r>
          </w:p>
        </w:tc>
        <w:tc>
          <w:tcPr>
            <w:tcW w:w="1559" w:type="dxa"/>
          </w:tcPr>
          <w:p w14:paraId="64ECFFBD" w14:textId="77777777" w:rsidR="00EF0C27" w:rsidRPr="00EF0C27" w:rsidRDefault="00EF0C27" w:rsidP="00EF0C27">
            <w:pPr>
              <w:rPr>
                <w:rFonts w:ascii="Arial" w:hAnsi="Arial" w:cs="Arial"/>
              </w:rPr>
            </w:pPr>
            <w:r w:rsidRPr="00EF0C27">
              <w:rPr>
                <w:rFonts w:ascii="Arial" w:hAnsi="Arial" w:cs="Arial"/>
              </w:rPr>
              <w:t>£77,250</w:t>
            </w:r>
          </w:p>
          <w:p w14:paraId="731BDA23" w14:textId="77777777" w:rsidR="00EF0C27" w:rsidRPr="00EF0C27" w:rsidRDefault="00EF0C27" w:rsidP="00EF0C27">
            <w:pPr>
              <w:rPr>
                <w:rFonts w:ascii="Arial" w:hAnsi="Arial" w:cs="Arial"/>
              </w:rPr>
            </w:pPr>
            <w:r w:rsidRPr="00EF0C27">
              <w:rPr>
                <w:rFonts w:ascii="Arial" w:hAnsi="Arial" w:cs="Arial"/>
              </w:rPr>
              <w:t>(90%)</w:t>
            </w:r>
          </w:p>
        </w:tc>
        <w:tc>
          <w:tcPr>
            <w:tcW w:w="1693" w:type="dxa"/>
          </w:tcPr>
          <w:p w14:paraId="0E8C60D0" w14:textId="77777777" w:rsidR="00EF0C27" w:rsidRPr="00EF0C27" w:rsidRDefault="00EF0C27" w:rsidP="00EF0C27">
            <w:pPr>
              <w:rPr>
                <w:rFonts w:ascii="Arial" w:hAnsi="Arial" w:cs="Arial"/>
              </w:rPr>
            </w:pPr>
            <w:r w:rsidRPr="00EF0C27">
              <w:rPr>
                <w:rFonts w:ascii="Arial" w:hAnsi="Arial" w:cs="Arial"/>
              </w:rPr>
              <w:t>£72,100</w:t>
            </w:r>
          </w:p>
          <w:p w14:paraId="3A6AB4D9" w14:textId="77777777" w:rsidR="00EF0C27" w:rsidRPr="00EF0C27" w:rsidRDefault="00EF0C27" w:rsidP="00EF0C27">
            <w:pPr>
              <w:rPr>
                <w:rFonts w:ascii="Arial" w:hAnsi="Arial" w:cs="Arial"/>
              </w:rPr>
            </w:pPr>
            <w:r w:rsidRPr="00EF0C27">
              <w:rPr>
                <w:rFonts w:ascii="Arial" w:hAnsi="Arial" w:cs="Arial"/>
              </w:rPr>
              <w:t>(91%)</w:t>
            </w:r>
          </w:p>
        </w:tc>
      </w:tr>
      <w:tr w:rsidR="00EF0C27" w:rsidRPr="00EF0C27" w14:paraId="70A3BB37" w14:textId="77777777" w:rsidTr="00AB0313">
        <w:tc>
          <w:tcPr>
            <w:tcW w:w="3823" w:type="dxa"/>
          </w:tcPr>
          <w:p w14:paraId="27BCAC99" w14:textId="77777777" w:rsidR="00EF0C27" w:rsidRPr="00EF0C27" w:rsidRDefault="00EF0C27" w:rsidP="00EF0C27">
            <w:pPr>
              <w:rPr>
                <w:rFonts w:ascii="Arial" w:hAnsi="Arial" w:cs="Arial"/>
              </w:rPr>
            </w:pPr>
            <w:r w:rsidRPr="00EF0C27">
              <w:rPr>
                <w:rFonts w:ascii="Arial" w:hAnsi="Arial" w:cs="Arial"/>
              </w:rPr>
              <w:t>Current Additional Greener Benchmark (flat rate)</w:t>
            </w:r>
          </w:p>
        </w:tc>
        <w:tc>
          <w:tcPr>
            <w:tcW w:w="1701" w:type="dxa"/>
          </w:tcPr>
          <w:p w14:paraId="0C362B39" w14:textId="77777777" w:rsidR="00EF0C27" w:rsidRPr="00EF0C27" w:rsidRDefault="00EF0C27" w:rsidP="00EF0C27">
            <w:pPr>
              <w:rPr>
                <w:rFonts w:ascii="Arial" w:hAnsi="Arial" w:cs="Arial"/>
              </w:rPr>
            </w:pPr>
            <w:r w:rsidRPr="00EF0C27">
              <w:rPr>
                <w:rFonts w:ascii="Arial" w:hAnsi="Arial" w:cs="Arial"/>
              </w:rPr>
              <w:t>£2,000</w:t>
            </w:r>
          </w:p>
        </w:tc>
        <w:tc>
          <w:tcPr>
            <w:tcW w:w="1559" w:type="dxa"/>
          </w:tcPr>
          <w:p w14:paraId="1524E1AE" w14:textId="77777777" w:rsidR="00EF0C27" w:rsidRPr="00EF0C27" w:rsidRDefault="00EF0C27" w:rsidP="00EF0C27">
            <w:pPr>
              <w:rPr>
                <w:rFonts w:ascii="Arial" w:hAnsi="Arial" w:cs="Arial"/>
              </w:rPr>
            </w:pPr>
            <w:r w:rsidRPr="00EF0C27">
              <w:rPr>
                <w:rFonts w:ascii="Arial" w:hAnsi="Arial" w:cs="Arial"/>
              </w:rPr>
              <w:t>£2,000</w:t>
            </w:r>
          </w:p>
        </w:tc>
        <w:tc>
          <w:tcPr>
            <w:tcW w:w="1693" w:type="dxa"/>
          </w:tcPr>
          <w:p w14:paraId="42F29DFD" w14:textId="77777777" w:rsidR="00EF0C27" w:rsidRPr="00EF0C27" w:rsidRDefault="00EF0C27" w:rsidP="00EF0C27">
            <w:pPr>
              <w:rPr>
                <w:rFonts w:ascii="Arial" w:hAnsi="Arial" w:cs="Arial"/>
              </w:rPr>
            </w:pPr>
            <w:r w:rsidRPr="00EF0C27">
              <w:rPr>
                <w:rFonts w:ascii="Arial" w:hAnsi="Arial" w:cs="Arial"/>
              </w:rPr>
              <w:t>£2,000</w:t>
            </w:r>
          </w:p>
        </w:tc>
      </w:tr>
      <w:tr w:rsidR="00EF0C27" w:rsidRPr="00EF0C27" w14:paraId="2C6A1A64" w14:textId="77777777" w:rsidTr="00AB0313">
        <w:tc>
          <w:tcPr>
            <w:tcW w:w="3823" w:type="dxa"/>
          </w:tcPr>
          <w:p w14:paraId="545211AF" w14:textId="77777777" w:rsidR="00EF0C27" w:rsidRPr="00EF0C27" w:rsidRDefault="00EF0C27" w:rsidP="00EF0C27">
            <w:pPr>
              <w:rPr>
                <w:rFonts w:ascii="Arial" w:hAnsi="Arial" w:cs="Arial"/>
              </w:rPr>
            </w:pPr>
            <w:r w:rsidRPr="00EF0C27">
              <w:rPr>
                <w:rFonts w:ascii="Arial" w:hAnsi="Arial" w:cs="Arial"/>
              </w:rPr>
              <w:t>Proposed Additional Greener Benchmark (</w:t>
            </w:r>
            <w:proofErr w:type="gramStart"/>
            <w:r w:rsidRPr="00EF0C27">
              <w:rPr>
                <w:rFonts w:ascii="Arial" w:hAnsi="Arial" w:cs="Arial"/>
              </w:rPr>
              <w:t>3 person</w:t>
            </w:r>
            <w:proofErr w:type="gramEnd"/>
            <w:r w:rsidRPr="00EF0C27">
              <w:rPr>
                <w:rFonts w:ascii="Arial" w:hAnsi="Arial" w:cs="Arial"/>
              </w:rPr>
              <w:t xml:space="preserve"> equivalent)</w:t>
            </w:r>
          </w:p>
        </w:tc>
        <w:tc>
          <w:tcPr>
            <w:tcW w:w="1701" w:type="dxa"/>
          </w:tcPr>
          <w:p w14:paraId="6B7D4535" w14:textId="77777777" w:rsidR="00EF0C27" w:rsidRPr="00EF0C27" w:rsidRDefault="00EF0C27" w:rsidP="00EF0C27">
            <w:pPr>
              <w:rPr>
                <w:rFonts w:ascii="Arial" w:hAnsi="Arial" w:cs="Arial"/>
              </w:rPr>
            </w:pPr>
            <w:r w:rsidRPr="00EF0C27">
              <w:rPr>
                <w:rFonts w:ascii="Arial" w:hAnsi="Arial" w:cs="Arial"/>
              </w:rPr>
              <w:t>£2,000</w:t>
            </w:r>
          </w:p>
        </w:tc>
        <w:tc>
          <w:tcPr>
            <w:tcW w:w="1559" w:type="dxa"/>
          </w:tcPr>
          <w:p w14:paraId="3FD4EBE7" w14:textId="77777777" w:rsidR="00EF0C27" w:rsidRPr="00EF0C27" w:rsidRDefault="00EF0C27" w:rsidP="00EF0C27">
            <w:pPr>
              <w:rPr>
                <w:rFonts w:ascii="Arial" w:hAnsi="Arial" w:cs="Arial"/>
              </w:rPr>
            </w:pPr>
            <w:r w:rsidRPr="00EF0C27">
              <w:rPr>
                <w:rFonts w:ascii="Arial" w:hAnsi="Arial" w:cs="Arial"/>
              </w:rPr>
              <w:t>£2,000</w:t>
            </w:r>
          </w:p>
        </w:tc>
        <w:tc>
          <w:tcPr>
            <w:tcW w:w="1693" w:type="dxa"/>
          </w:tcPr>
          <w:p w14:paraId="666ADB40" w14:textId="77777777" w:rsidR="00EF0C27" w:rsidRPr="00EF0C27" w:rsidRDefault="00EF0C27" w:rsidP="00EF0C27">
            <w:pPr>
              <w:rPr>
                <w:rFonts w:ascii="Arial" w:hAnsi="Arial" w:cs="Arial"/>
              </w:rPr>
            </w:pPr>
            <w:r w:rsidRPr="00EF0C27">
              <w:rPr>
                <w:rFonts w:ascii="Arial" w:hAnsi="Arial" w:cs="Arial"/>
              </w:rPr>
              <w:t>£2,000</w:t>
            </w:r>
          </w:p>
        </w:tc>
      </w:tr>
      <w:tr w:rsidR="00EF0C27" w:rsidRPr="00EF0C27" w14:paraId="55CEECFE" w14:textId="77777777" w:rsidTr="00AB0313">
        <w:tc>
          <w:tcPr>
            <w:tcW w:w="3823" w:type="dxa"/>
          </w:tcPr>
          <w:p w14:paraId="7D8336A1" w14:textId="77777777" w:rsidR="00EF0C27" w:rsidRPr="00EF0C27" w:rsidRDefault="00EF0C27" w:rsidP="00EF0C27">
            <w:pPr>
              <w:rPr>
                <w:rFonts w:ascii="Arial" w:hAnsi="Arial" w:cs="Arial"/>
              </w:rPr>
            </w:pPr>
            <w:r w:rsidRPr="00EF0C27">
              <w:rPr>
                <w:rFonts w:ascii="Arial" w:hAnsi="Arial" w:cs="Arial"/>
              </w:rPr>
              <w:t xml:space="preserve">Suite of additional features </w:t>
            </w:r>
          </w:p>
          <w:p w14:paraId="2DD3C98E" w14:textId="77777777" w:rsidR="00EF0C27" w:rsidRPr="00EF0C27" w:rsidRDefault="00EF0C27" w:rsidP="00EF0C27">
            <w:pPr>
              <w:rPr>
                <w:rFonts w:ascii="Arial" w:hAnsi="Arial" w:cs="Arial"/>
              </w:rPr>
            </w:pPr>
          </w:p>
        </w:tc>
        <w:tc>
          <w:tcPr>
            <w:tcW w:w="4953" w:type="dxa"/>
            <w:gridSpan w:val="3"/>
          </w:tcPr>
          <w:p w14:paraId="30E82B39" w14:textId="77777777" w:rsidR="00EF0C27" w:rsidRPr="00EF0C27" w:rsidRDefault="00EF0C27" w:rsidP="00EF0C27">
            <w:pPr>
              <w:rPr>
                <w:rFonts w:ascii="Arial" w:hAnsi="Arial" w:cs="Arial"/>
              </w:rPr>
            </w:pPr>
            <w:r w:rsidRPr="00EF0C27">
              <w:rPr>
                <w:rFonts w:ascii="Arial" w:hAnsi="Arial" w:cs="Arial"/>
              </w:rPr>
              <w:t xml:space="preserve">All on a </w:t>
            </w:r>
            <w:proofErr w:type="gramStart"/>
            <w:r w:rsidRPr="00EF0C27">
              <w:rPr>
                <w:rFonts w:ascii="Arial" w:hAnsi="Arial" w:cs="Arial"/>
              </w:rPr>
              <w:t>3 person</w:t>
            </w:r>
            <w:proofErr w:type="gramEnd"/>
            <w:r w:rsidRPr="00EF0C27">
              <w:rPr>
                <w:rFonts w:ascii="Arial" w:hAnsi="Arial" w:cs="Arial"/>
              </w:rPr>
              <w:t xml:space="preserve"> equivalent basis</w:t>
            </w:r>
          </w:p>
        </w:tc>
      </w:tr>
    </w:tbl>
    <w:p w14:paraId="7E66AA74" w14:textId="77777777" w:rsidR="00EF0C27" w:rsidRDefault="00EF0C27">
      <w:pPr>
        <w:rPr>
          <w:rFonts w:ascii="Arial" w:hAnsi="Arial" w:cs="Arial"/>
        </w:rPr>
      </w:pPr>
    </w:p>
    <w:p w14:paraId="43A630B5" w14:textId="77777777" w:rsidR="00EF0C27" w:rsidRDefault="00EF0C27">
      <w:pPr>
        <w:rPr>
          <w:rFonts w:ascii="Arial" w:hAnsi="Arial" w:cs="Arial"/>
        </w:rPr>
      </w:pPr>
    </w:p>
    <w:p w14:paraId="59A7604D" w14:textId="77777777" w:rsidR="00EF0C27" w:rsidRDefault="00EF0C27" w:rsidP="00EF0C27">
      <w:pPr>
        <w:rPr>
          <w:rFonts w:ascii="Arial" w:hAnsi="Arial" w:cs="Arial"/>
          <w:b/>
        </w:rPr>
      </w:pPr>
    </w:p>
    <w:p w14:paraId="05264DEE" w14:textId="77777777" w:rsidR="00EF0C27" w:rsidRDefault="00EF0C27" w:rsidP="00EF0C27">
      <w:pPr>
        <w:rPr>
          <w:rFonts w:ascii="Arial" w:hAnsi="Arial" w:cs="Arial"/>
          <w:b/>
        </w:rPr>
      </w:pPr>
    </w:p>
    <w:p w14:paraId="298862C7" w14:textId="77777777" w:rsidR="00EF0C27" w:rsidRPr="00EF0C27" w:rsidRDefault="00EF0C27" w:rsidP="00EF0C27">
      <w:pPr>
        <w:rPr>
          <w:rFonts w:ascii="Arial" w:hAnsi="Arial" w:cs="Arial"/>
          <w:b/>
        </w:rPr>
      </w:pPr>
      <w:r w:rsidRPr="00EF0C27">
        <w:rPr>
          <w:rFonts w:ascii="Arial" w:hAnsi="Arial" w:cs="Arial"/>
          <w:b/>
        </w:rPr>
        <w:t>City/Urban Example</w:t>
      </w:r>
    </w:p>
    <w:p w14:paraId="7042326C" w14:textId="77777777" w:rsidR="00EF0C27" w:rsidRPr="00EF0C27" w:rsidRDefault="00EF0C27" w:rsidP="00EF0C27">
      <w:pPr>
        <w:rPr>
          <w:rFonts w:ascii="Arial" w:hAnsi="Arial" w:cs="Arial"/>
          <w:b/>
        </w:rPr>
      </w:pPr>
    </w:p>
    <w:p w14:paraId="36955A09" w14:textId="77777777" w:rsidR="00EF0C27" w:rsidRPr="00EF0C27" w:rsidRDefault="00EF0C27" w:rsidP="00EF0C27">
      <w:pPr>
        <w:rPr>
          <w:rFonts w:ascii="Arial" w:hAnsi="Arial" w:cs="Arial"/>
        </w:rPr>
      </w:pPr>
      <w:r w:rsidRPr="00EF0C27">
        <w:rPr>
          <w:rFonts w:ascii="Arial" w:hAnsi="Arial" w:cs="Arial"/>
        </w:rPr>
        <w:t xml:space="preserve">A </w:t>
      </w:r>
      <w:proofErr w:type="gramStart"/>
      <w:r w:rsidRPr="00EF0C27">
        <w:rPr>
          <w:rFonts w:ascii="Arial" w:hAnsi="Arial" w:cs="Arial"/>
        </w:rPr>
        <w:t>24 unit</w:t>
      </w:r>
      <w:proofErr w:type="gramEnd"/>
      <w:r w:rsidRPr="00EF0C27">
        <w:rPr>
          <w:rFonts w:ascii="Arial" w:hAnsi="Arial" w:cs="Arial"/>
        </w:rPr>
        <w:t xml:space="preserve"> development with the average size of home being 4 person, being delivered to the greener standard and requesting £1.7m in grant. This would equate to £70,833 per home and be above </w:t>
      </w:r>
      <w:r>
        <w:rPr>
          <w:rFonts w:ascii="Arial" w:hAnsi="Arial" w:cs="Arial"/>
        </w:rPr>
        <w:t xml:space="preserve">the </w:t>
      </w:r>
      <w:r w:rsidRPr="00EF0C27">
        <w:rPr>
          <w:rFonts w:ascii="Arial" w:hAnsi="Arial" w:cs="Arial"/>
        </w:rPr>
        <w:t xml:space="preserve">current </w:t>
      </w:r>
      <w:r>
        <w:rPr>
          <w:rFonts w:ascii="Arial" w:hAnsi="Arial" w:cs="Arial"/>
        </w:rPr>
        <w:t xml:space="preserve">applicable </w:t>
      </w:r>
      <w:r w:rsidRPr="00EF0C27">
        <w:rPr>
          <w:rFonts w:ascii="Arial" w:hAnsi="Arial" w:cs="Arial"/>
        </w:rPr>
        <w:t>benchmark level</w:t>
      </w:r>
      <w:r>
        <w:rPr>
          <w:rFonts w:ascii="Arial" w:hAnsi="Arial" w:cs="Arial"/>
        </w:rPr>
        <w:t xml:space="preserve"> (£59,000)</w:t>
      </w:r>
      <w:r w:rsidRPr="00EF0C27">
        <w:rPr>
          <w:rFonts w:ascii="Arial" w:hAnsi="Arial" w:cs="Arial"/>
        </w:rPr>
        <w:t xml:space="preserve"> and therefore require further scrutiny.</w:t>
      </w:r>
    </w:p>
    <w:p w14:paraId="1AABEE67" w14:textId="77777777" w:rsidR="00EF0C27" w:rsidRPr="00EF0C27" w:rsidRDefault="00EF0C27" w:rsidP="00EF0C27">
      <w:pPr>
        <w:rPr>
          <w:rFonts w:ascii="Arial" w:hAnsi="Arial" w:cs="Arial"/>
        </w:rPr>
      </w:pPr>
    </w:p>
    <w:p w14:paraId="50E5A4CE" w14:textId="77777777" w:rsidR="00EF0C27" w:rsidRPr="00EF0C27" w:rsidRDefault="00EF0C27" w:rsidP="00EF0C27">
      <w:pPr>
        <w:rPr>
          <w:rFonts w:ascii="Arial" w:hAnsi="Arial" w:cs="Arial"/>
        </w:rPr>
      </w:pPr>
      <w:r w:rsidRPr="00EF0C27">
        <w:rPr>
          <w:rFonts w:ascii="Arial" w:hAnsi="Arial" w:cs="Arial"/>
        </w:rPr>
        <w:t xml:space="preserve">If delivering against the proposed new </w:t>
      </w:r>
      <w:proofErr w:type="gramStart"/>
      <w:r w:rsidRPr="00EF0C27">
        <w:rPr>
          <w:rFonts w:ascii="Arial" w:hAnsi="Arial" w:cs="Arial"/>
        </w:rPr>
        <w:t>benchmarks</w:t>
      </w:r>
      <w:proofErr w:type="gramEnd"/>
      <w:r w:rsidRPr="00EF0C27">
        <w:rPr>
          <w:rFonts w:ascii="Arial" w:hAnsi="Arial" w:cs="Arial"/>
        </w:rPr>
        <w:t xml:space="preserve"> then this project would be assessed against a three person equivalent benchmark of £67,405</w:t>
      </w:r>
      <w:r>
        <w:rPr>
          <w:rFonts w:ascii="Arial" w:hAnsi="Arial" w:cs="Arial"/>
        </w:rPr>
        <w:t>.  The required grant per home of £70,833</w:t>
      </w:r>
      <w:r w:rsidRPr="00EF0C27">
        <w:rPr>
          <w:rFonts w:ascii="Arial" w:hAnsi="Arial" w:cs="Arial"/>
        </w:rPr>
        <w:t xml:space="preserve"> would then have a conversion factor of 109.0 applied to it to reflect the average home size being 4 person </w:t>
      </w:r>
      <w:proofErr w:type="gramStart"/>
      <w:r w:rsidRPr="00EF0C27">
        <w:rPr>
          <w:rFonts w:ascii="Arial" w:hAnsi="Arial" w:cs="Arial"/>
        </w:rPr>
        <w:t>which</w:t>
      </w:r>
      <w:proofErr w:type="gramEnd"/>
      <w:r w:rsidRPr="00EF0C27">
        <w:rPr>
          <w:rFonts w:ascii="Arial" w:hAnsi="Arial" w:cs="Arial"/>
        </w:rPr>
        <w:t xml:space="preserve"> would equate to a 3 person equivalent benchmark of £64,98</w:t>
      </w:r>
      <w:r>
        <w:rPr>
          <w:rFonts w:ascii="Arial" w:hAnsi="Arial" w:cs="Arial"/>
        </w:rPr>
        <w:t>4.</w:t>
      </w:r>
      <w:r w:rsidRPr="00EF0C27">
        <w:rPr>
          <w:rFonts w:ascii="Arial" w:hAnsi="Arial" w:cs="Arial"/>
        </w:rPr>
        <w:t xml:space="preserve"> The project would be under benchmark and receive a streamlined appraisal.  </w:t>
      </w:r>
    </w:p>
    <w:p w14:paraId="14F0664E" w14:textId="77777777" w:rsidR="00EF0C27" w:rsidRPr="00EF0C27" w:rsidRDefault="00EF0C27" w:rsidP="00EF0C27">
      <w:pPr>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688"/>
        <w:gridCol w:w="6689"/>
      </w:tblGrid>
      <w:tr w:rsidR="00EF0C27" w:rsidRPr="00EF0C27" w14:paraId="1740F051" w14:textId="77777777" w:rsidTr="00AB0313">
        <w:trPr>
          <w:trHeight w:val="90"/>
        </w:trPr>
        <w:tc>
          <w:tcPr>
            <w:tcW w:w="13377" w:type="dxa"/>
            <w:gridSpan w:val="2"/>
          </w:tcPr>
          <w:p w14:paraId="65916E4A" w14:textId="77777777" w:rsidR="00EF0C27" w:rsidRPr="00EF0C27" w:rsidRDefault="00EF0C27" w:rsidP="00EF0C27">
            <w:pPr>
              <w:rPr>
                <w:rFonts w:ascii="Arial" w:hAnsi="Arial" w:cs="Arial"/>
              </w:rPr>
            </w:pPr>
            <w:r w:rsidRPr="00EF0C27">
              <w:rPr>
                <w:rFonts w:ascii="Arial" w:hAnsi="Arial" w:cs="Arial"/>
                <w:b/>
                <w:bCs/>
                <w:i/>
                <w:iCs/>
              </w:rPr>
              <w:lastRenderedPageBreak/>
              <w:t xml:space="preserve">Project information (the following example relates to a council social rent – greener project in a City/Urban area): </w:t>
            </w:r>
          </w:p>
        </w:tc>
      </w:tr>
      <w:tr w:rsidR="00EF0C27" w:rsidRPr="00EF0C27" w14:paraId="7B555F2A" w14:textId="77777777" w:rsidTr="00AB0313">
        <w:trPr>
          <w:trHeight w:val="90"/>
        </w:trPr>
        <w:tc>
          <w:tcPr>
            <w:tcW w:w="6688" w:type="dxa"/>
          </w:tcPr>
          <w:p w14:paraId="31500854" w14:textId="77777777" w:rsidR="00EF0C27" w:rsidRPr="00EF0C27" w:rsidRDefault="00EF0C27" w:rsidP="00EF0C27">
            <w:pPr>
              <w:rPr>
                <w:rFonts w:ascii="Arial" w:hAnsi="Arial" w:cs="Arial"/>
              </w:rPr>
            </w:pPr>
            <w:r w:rsidRPr="00EF0C27">
              <w:rPr>
                <w:rFonts w:ascii="Arial" w:hAnsi="Arial" w:cs="Arial"/>
                <w:i/>
                <w:iCs/>
              </w:rPr>
              <w:t xml:space="preserve">Number of units (a) </w:t>
            </w:r>
          </w:p>
        </w:tc>
        <w:tc>
          <w:tcPr>
            <w:tcW w:w="6688" w:type="dxa"/>
          </w:tcPr>
          <w:p w14:paraId="665C3B21" w14:textId="77777777" w:rsidR="00EF0C27" w:rsidRPr="00EF0C27" w:rsidRDefault="00EF0C27" w:rsidP="00EF0C27">
            <w:pPr>
              <w:rPr>
                <w:rFonts w:ascii="Arial" w:hAnsi="Arial" w:cs="Arial"/>
              </w:rPr>
            </w:pPr>
            <w:r w:rsidRPr="00EF0C27">
              <w:rPr>
                <w:rFonts w:ascii="Arial" w:hAnsi="Arial" w:cs="Arial"/>
                <w:i/>
                <w:iCs/>
              </w:rPr>
              <w:t>24</w:t>
            </w:r>
          </w:p>
        </w:tc>
      </w:tr>
      <w:tr w:rsidR="00EF0C27" w:rsidRPr="00EF0C27" w14:paraId="011FD3F5" w14:textId="77777777" w:rsidTr="00AB0313">
        <w:trPr>
          <w:trHeight w:val="90"/>
        </w:trPr>
        <w:tc>
          <w:tcPr>
            <w:tcW w:w="6688" w:type="dxa"/>
          </w:tcPr>
          <w:p w14:paraId="1530C9F8" w14:textId="77777777" w:rsidR="00EF0C27" w:rsidRPr="00EF0C27" w:rsidRDefault="00EF0C27" w:rsidP="00EF0C27">
            <w:pPr>
              <w:rPr>
                <w:rFonts w:ascii="Arial" w:hAnsi="Arial" w:cs="Arial"/>
              </w:rPr>
            </w:pPr>
            <w:r w:rsidRPr="00EF0C27">
              <w:rPr>
                <w:rFonts w:ascii="Arial" w:hAnsi="Arial" w:cs="Arial"/>
                <w:i/>
                <w:iCs/>
              </w:rPr>
              <w:t xml:space="preserve">Number of bedspaces (b) </w:t>
            </w:r>
          </w:p>
        </w:tc>
        <w:tc>
          <w:tcPr>
            <w:tcW w:w="6688" w:type="dxa"/>
          </w:tcPr>
          <w:p w14:paraId="0BC0DE61" w14:textId="77777777" w:rsidR="00EF0C27" w:rsidRPr="00EF0C27" w:rsidRDefault="00EF0C27" w:rsidP="00EF0C27">
            <w:pPr>
              <w:rPr>
                <w:rFonts w:ascii="Arial" w:hAnsi="Arial" w:cs="Arial"/>
              </w:rPr>
            </w:pPr>
            <w:r w:rsidRPr="00EF0C27">
              <w:rPr>
                <w:rFonts w:ascii="Arial" w:hAnsi="Arial" w:cs="Arial"/>
                <w:i/>
                <w:iCs/>
              </w:rPr>
              <w:t xml:space="preserve">96 </w:t>
            </w:r>
          </w:p>
        </w:tc>
      </w:tr>
      <w:tr w:rsidR="00EF0C27" w:rsidRPr="00EF0C27" w14:paraId="2C06F4B2" w14:textId="77777777" w:rsidTr="00AB0313">
        <w:trPr>
          <w:trHeight w:val="90"/>
        </w:trPr>
        <w:tc>
          <w:tcPr>
            <w:tcW w:w="6688" w:type="dxa"/>
          </w:tcPr>
          <w:p w14:paraId="3D1311A1" w14:textId="77777777" w:rsidR="00EF0C27" w:rsidRPr="00EF0C27" w:rsidRDefault="00EF0C27" w:rsidP="00EF0C27">
            <w:pPr>
              <w:rPr>
                <w:rFonts w:ascii="Arial" w:hAnsi="Arial" w:cs="Arial"/>
              </w:rPr>
            </w:pPr>
            <w:r w:rsidRPr="00EF0C27">
              <w:rPr>
                <w:rFonts w:ascii="Arial" w:hAnsi="Arial" w:cs="Arial"/>
                <w:i/>
                <w:iCs/>
              </w:rPr>
              <w:t xml:space="preserve">Average bedspaces (b)/(a) </w:t>
            </w:r>
          </w:p>
        </w:tc>
        <w:tc>
          <w:tcPr>
            <w:tcW w:w="6688" w:type="dxa"/>
          </w:tcPr>
          <w:p w14:paraId="1F982D1A" w14:textId="77777777" w:rsidR="00EF0C27" w:rsidRPr="00EF0C27" w:rsidRDefault="00EF0C27" w:rsidP="00EF0C27">
            <w:pPr>
              <w:rPr>
                <w:rFonts w:ascii="Arial" w:hAnsi="Arial" w:cs="Arial"/>
              </w:rPr>
            </w:pPr>
            <w:r w:rsidRPr="00EF0C27">
              <w:rPr>
                <w:rFonts w:ascii="Arial" w:hAnsi="Arial" w:cs="Arial"/>
                <w:i/>
                <w:iCs/>
              </w:rPr>
              <w:t xml:space="preserve">4.0 </w:t>
            </w:r>
          </w:p>
        </w:tc>
      </w:tr>
      <w:tr w:rsidR="00EF0C27" w:rsidRPr="00EF0C27" w14:paraId="0EDBECB7" w14:textId="77777777" w:rsidTr="00AB0313">
        <w:trPr>
          <w:trHeight w:val="90"/>
        </w:trPr>
        <w:tc>
          <w:tcPr>
            <w:tcW w:w="6688" w:type="dxa"/>
          </w:tcPr>
          <w:p w14:paraId="21E617A0" w14:textId="77777777" w:rsidR="00EF0C27" w:rsidRPr="00EF0C27" w:rsidRDefault="00EF0C27" w:rsidP="00EF0C27">
            <w:pPr>
              <w:rPr>
                <w:rFonts w:ascii="Arial" w:hAnsi="Arial" w:cs="Arial"/>
              </w:rPr>
            </w:pPr>
            <w:r w:rsidRPr="00EF0C27">
              <w:rPr>
                <w:rFonts w:ascii="Arial" w:hAnsi="Arial" w:cs="Arial"/>
                <w:i/>
                <w:iCs/>
              </w:rPr>
              <w:t xml:space="preserve">Total proposed grant (c) </w:t>
            </w:r>
          </w:p>
        </w:tc>
        <w:tc>
          <w:tcPr>
            <w:tcW w:w="6688" w:type="dxa"/>
          </w:tcPr>
          <w:p w14:paraId="13250921" w14:textId="77777777" w:rsidR="00EF0C27" w:rsidRPr="00EF0C27" w:rsidRDefault="00EF0C27" w:rsidP="00EF0C27">
            <w:pPr>
              <w:rPr>
                <w:rFonts w:ascii="Arial" w:hAnsi="Arial" w:cs="Arial"/>
              </w:rPr>
            </w:pPr>
            <w:r w:rsidRPr="00EF0C27">
              <w:rPr>
                <w:rFonts w:ascii="Arial" w:hAnsi="Arial" w:cs="Arial"/>
                <w:i/>
                <w:iCs/>
              </w:rPr>
              <w:t xml:space="preserve">£1,700,000 </w:t>
            </w:r>
          </w:p>
        </w:tc>
      </w:tr>
      <w:tr w:rsidR="00EF0C27" w:rsidRPr="00EF0C27" w14:paraId="26AC2E02" w14:textId="77777777" w:rsidTr="00AB0313">
        <w:trPr>
          <w:trHeight w:val="90"/>
        </w:trPr>
        <w:tc>
          <w:tcPr>
            <w:tcW w:w="6688" w:type="dxa"/>
          </w:tcPr>
          <w:p w14:paraId="2614E506" w14:textId="77777777" w:rsidR="00EF0C27" w:rsidRPr="00EF0C27" w:rsidRDefault="00EF0C27" w:rsidP="00EF0C27">
            <w:pPr>
              <w:rPr>
                <w:rFonts w:ascii="Arial" w:hAnsi="Arial" w:cs="Arial"/>
              </w:rPr>
            </w:pPr>
            <w:r w:rsidRPr="00EF0C27">
              <w:rPr>
                <w:rFonts w:ascii="Arial" w:hAnsi="Arial" w:cs="Arial"/>
                <w:i/>
                <w:iCs/>
              </w:rPr>
              <w:t xml:space="preserve">Average proposed grant per unit (c)/(a) </w:t>
            </w:r>
          </w:p>
        </w:tc>
        <w:tc>
          <w:tcPr>
            <w:tcW w:w="6688" w:type="dxa"/>
          </w:tcPr>
          <w:p w14:paraId="0AA2E808" w14:textId="77777777" w:rsidR="00EF0C27" w:rsidRPr="00EF0C27" w:rsidRDefault="00EF0C27" w:rsidP="00EF0C27">
            <w:pPr>
              <w:rPr>
                <w:rFonts w:ascii="Arial" w:hAnsi="Arial" w:cs="Arial"/>
              </w:rPr>
            </w:pPr>
            <w:r w:rsidRPr="00EF0C27">
              <w:rPr>
                <w:rFonts w:ascii="Arial" w:hAnsi="Arial" w:cs="Arial"/>
                <w:i/>
                <w:iCs/>
              </w:rPr>
              <w:t xml:space="preserve">£70,833 </w:t>
            </w:r>
          </w:p>
        </w:tc>
      </w:tr>
      <w:tr w:rsidR="00EF0C27" w:rsidRPr="00EF0C27" w14:paraId="5E0F2280" w14:textId="77777777" w:rsidTr="00AB0313">
        <w:trPr>
          <w:trHeight w:val="90"/>
        </w:trPr>
        <w:tc>
          <w:tcPr>
            <w:tcW w:w="6688" w:type="dxa"/>
          </w:tcPr>
          <w:p w14:paraId="366DD7EC" w14:textId="77777777" w:rsidR="00EF0C27" w:rsidRPr="00EF0C27" w:rsidRDefault="00EF0C27" w:rsidP="00EF0C27">
            <w:pPr>
              <w:rPr>
                <w:rFonts w:ascii="Arial" w:hAnsi="Arial" w:cs="Arial"/>
              </w:rPr>
            </w:pPr>
            <w:r w:rsidRPr="00EF0C27">
              <w:rPr>
                <w:rFonts w:ascii="Arial" w:hAnsi="Arial" w:cs="Arial"/>
                <w:i/>
                <w:iCs/>
              </w:rPr>
              <w:t xml:space="preserve">Three-person equivalent conversation factor </w:t>
            </w:r>
          </w:p>
        </w:tc>
        <w:tc>
          <w:tcPr>
            <w:tcW w:w="6688" w:type="dxa"/>
          </w:tcPr>
          <w:p w14:paraId="2F01405E" w14:textId="77777777" w:rsidR="00EF0C27" w:rsidRPr="00EF0C27" w:rsidRDefault="00EF0C27" w:rsidP="00EF0C27">
            <w:pPr>
              <w:rPr>
                <w:rFonts w:ascii="Arial" w:hAnsi="Arial" w:cs="Arial"/>
              </w:rPr>
            </w:pPr>
            <w:r w:rsidRPr="00EF0C27">
              <w:rPr>
                <w:rFonts w:ascii="Arial" w:hAnsi="Arial" w:cs="Arial"/>
                <w:i/>
                <w:iCs/>
              </w:rPr>
              <w:t xml:space="preserve">109.00 </w:t>
            </w:r>
          </w:p>
        </w:tc>
      </w:tr>
      <w:tr w:rsidR="00EF0C27" w:rsidRPr="00EF0C27" w14:paraId="21D56F0C" w14:textId="77777777" w:rsidTr="00AB0313">
        <w:trPr>
          <w:trHeight w:val="90"/>
        </w:trPr>
        <w:tc>
          <w:tcPr>
            <w:tcW w:w="6688" w:type="dxa"/>
          </w:tcPr>
          <w:p w14:paraId="05AB65DD" w14:textId="77777777" w:rsidR="00EF0C27" w:rsidRPr="00EF0C27" w:rsidRDefault="00EF0C27" w:rsidP="00EF0C27">
            <w:pPr>
              <w:rPr>
                <w:rFonts w:ascii="Arial" w:hAnsi="Arial" w:cs="Arial"/>
              </w:rPr>
            </w:pPr>
            <w:r w:rsidRPr="00EF0C27">
              <w:rPr>
                <w:rFonts w:ascii="Arial" w:hAnsi="Arial" w:cs="Arial"/>
                <w:i/>
                <w:iCs/>
              </w:rPr>
              <w:t xml:space="preserve">Apply conversion factor to average proposed grant per unit (£70,833 divided by 109.0 multiplied by 100) (d) </w:t>
            </w:r>
          </w:p>
        </w:tc>
        <w:tc>
          <w:tcPr>
            <w:tcW w:w="6688" w:type="dxa"/>
          </w:tcPr>
          <w:p w14:paraId="1B6F8F34" w14:textId="77777777" w:rsidR="00EF0C27" w:rsidRPr="00EF0C27" w:rsidRDefault="00EF0C27" w:rsidP="00EF0C27">
            <w:pPr>
              <w:rPr>
                <w:rFonts w:ascii="Arial" w:hAnsi="Arial" w:cs="Arial"/>
              </w:rPr>
            </w:pPr>
            <w:r w:rsidRPr="00EF0C27">
              <w:rPr>
                <w:rFonts w:ascii="Arial" w:hAnsi="Arial" w:cs="Arial"/>
                <w:i/>
                <w:iCs/>
              </w:rPr>
              <w:t>£</w:t>
            </w:r>
            <w:r>
              <w:rPr>
                <w:rFonts w:ascii="Arial" w:hAnsi="Arial" w:cs="Arial"/>
                <w:i/>
                <w:iCs/>
              </w:rPr>
              <w:t>64,984</w:t>
            </w:r>
            <w:r w:rsidRPr="00EF0C27">
              <w:rPr>
                <w:rFonts w:ascii="Arial" w:hAnsi="Arial" w:cs="Arial"/>
                <w:i/>
                <w:iCs/>
              </w:rPr>
              <w:t xml:space="preserve"> </w:t>
            </w:r>
          </w:p>
        </w:tc>
      </w:tr>
      <w:tr w:rsidR="00EF0C27" w:rsidRPr="00EF0C27" w14:paraId="32262C27" w14:textId="77777777" w:rsidTr="00AB0313">
        <w:trPr>
          <w:trHeight w:val="90"/>
        </w:trPr>
        <w:tc>
          <w:tcPr>
            <w:tcW w:w="6688" w:type="dxa"/>
          </w:tcPr>
          <w:p w14:paraId="1411D8D5" w14:textId="77777777" w:rsidR="00EF0C27" w:rsidRPr="00EF0C27" w:rsidRDefault="00EF0C27" w:rsidP="00EF0C27">
            <w:pPr>
              <w:rPr>
                <w:rFonts w:ascii="Arial" w:hAnsi="Arial" w:cs="Arial"/>
              </w:rPr>
            </w:pPr>
            <w:r w:rsidRPr="00EF0C27">
              <w:rPr>
                <w:rFonts w:ascii="Arial" w:hAnsi="Arial" w:cs="Arial"/>
                <w:i/>
                <w:iCs/>
              </w:rPr>
              <w:t xml:space="preserve">Compare (d) with the relevant three-person equivalent grant subsidy benchmark of £67,405 per unit </w:t>
            </w:r>
          </w:p>
        </w:tc>
        <w:tc>
          <w:tcPr>
            <w:tcW w:w="6688" w:type="dxa"/>
          </w:tcPr>
          <w:p w14:paraId="0BB82312" w14:textId="77777777" w:rsidR="00EF0C27" w:rsidRPr="00EF0C27" w:rsidRDefault="00EF0C27" w:rsidP="00EF0C27">
            <w:pPr>
              <w:rPr>
                <w:rFonts w:ascii="Arial" w:hAnsi="Arial" w:cs="Arial"/>
              </w:rPr>
            </w:pPr>
          </w:p>
        </w:tc>
      </w:tr>
    </w:tbl>
    <w:p w14:paraId="7D7899FF" w14:textId="77777777" w:rsidR="00EF0C27" w:rsidRPr="00EF0C27" w:rsidRDefault="00EF0C27" w:rsidP="00EF0C27">
      <w:pPr>
        <w:rPr>
          <w:rFonts w:ascii="Arial" w:hAnsi="Arial" w:cs="Arial"/>
          <w:b/>
        </w:rPr>
      </w:pPr>
    </w:p>
    <w:p w14:paraId="16B8D6EE" w14:textId="77777777" w:rsidR="00EF0C27" w:rsidRPr="00EF0C27" w:rsidRDefault="00EF0C27" w:rsidP="00EF0C27">
      <w:pPr>
        <w:rPr>
          <w:rFonts w:ascii="Arial" w:hAnsi="Arial" w:cs="Arial"/>
          <w:b/>
        </w:rPr>
      </w:pPr>
      <w:r w:rsidRPr="00EF0C27">
        <w:rPr>
          <w:rFonts w:ascii="Arial" w:hAnsi="Arial" w:cs="Arial"/>
          <w:i/>
          <w:iCs/>
        </w:rPr>
        <w:t>Project under benchmark at £64,98</w:t>
      </w:r>
      <w:r>
        <w:rPr>
          <w:rFonts w:ascii="Arial" w:hAnsi="Arial" w:cs="Arial"/>
          <w:i/>
          <w:iCs/>
        </w:rPr>
        <w:t>4</w:t>
      </w:r>
      <w:r w:rsidRPr="00EF0C27">
        <w:rPr>
          <w:rFonts w:ascii="Arial" w:hAnsi="Arial" w:cs="Arial"/>
          <w:i/>
          <w:iCs/>
        </w:rPr>
        <w:t xml:space="preserve"> per unit</w:t>
      </w:r>
    </w:p>
    <w:p w14:paraId="4C1A35B6" w14:textId="77777777" w:rsidR="00EF0C27" w:rsidRPr="007D2AEF" w:rsidRDefault="00EF0C27">
      <w:pPr>
        <w:rPr>
          <w:rFonts w:ascii="Arial" w:hAnsi="Arial" w:cs="Arial"/>
        </w:rPr>
      </w:pPr>
    </w:p>
    <w:sectPr w:rsidR="00EF0C27" w:rsidRPr="007D2AEF" w:rsidSect="004E510C">
      <w:footerReference w:type="even" r:id="rId12"/>
      <w:footerReference w:type="default" r:id="rId1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Kerr (Housing Dev &amp; Homeless Manager)" w:date="2021-06-07T16:30:00Z" w:initials="JK(D&amp;HM">
    <w:p w14:paraId="248B6B60" w14:textId="77777777" w:rsidR="00AB0313" w:rsidRDefault="00AB0313">
      <w:pPr>
        <w:pStyle w:val="CommentText"/>
      </w:pPr>
      <w:r>
        <w:rPr>
          <w:rStyle w:val="CommentReference"/>
        </w:rPr>
        <w:annotationRef/>
      </w:r>
      <w:r>
        <w:t>Subjective but written as fact.  Where is the evidence to suggest that it is more accurate?</w:t>
      </w:r>
    </w:p>
  </w:comment>
  <w:comment w:id="1" w:author="Tony Cain" w:date="2021-06-07T21:35:00Z" w:initials="TC">
    <w:p w14:paraId="6F6C6725" w14:textId="77777777" w:rsidR="009875D6" w:rsidRDefault="009875D6" w:rsidP="00596B3C">
      <w:pPr>
        <w:pStyle w:val="CommentText"/>
      </w:pPr>
      <w:r>
        <w:rPr>
          <w:rStyle w:val="CommentReference"/>
        </w:rPr>
        <w:annotationRef/>
      </w:r>
      <w:r>
        <w:t>I would go further and say they have been selective in their comparison, basing it on around 70% of new loans at higher rates.  The regulator, that has produced these figures has already said to me that comparing RSL and council borrowing is very difficult.</w:t>
      </w:r>
    </w:p>
  </w:comment>
  <w:comment w:id="2" w:author="John Kerr (Housing Dev &amp; Homeless Manager)" w:date="2021-06-07T16:31:00Z" w:initials="JK(D&amp;HM">
    <w:p w14:paraId="13A2F6B4" w14:textId="2CBDE650" w:rsidR="00AB0313" w:rsidRDefault="00AB0313" w:rsidP="009875D6">
      <w:pPr>
        <w:pStyle w:val="CommentText"/>
      </w:pPr>
      <w:r>
        <w:rPr>
          <w:rStyle w:val="CommentReference"/>
        </w:rPr>
        <w:annotationRef/>
      </w:r>
      <w:r>
        <w:t>Should a similar exercise not be undertaken to look at costs borne by Councils that are not borne by RSLs?</w:t>
      </w:r>
    </w:p>
  </w:comment>
  <w:comment w:id="3" w:author="Tony Cain" w:date="2021-06-07T21:38:00Z" w:initials="TC">
    <w:p w14:paraId="45C1F820" w14:textId="77777777" w:rsidR="00AD0451" w:rsidRDefault="00AD0451" w:rsidP="00E67A5F">
      <w:pPr>
        <w:pStyle w:val="CommentText"/>
      </w:pPr>
      <w:r>
        <w:rPr>
          <w:rStyle w:val="CommentReference"/>
        </w:rPr>
        <w:annotationRef/>
      </w:r>
      <w:r>
        <w:t>as with other elements, they need to show thier workings, what other costs?  and as you say john, what about other costs to Councils like decent pensions.</w:t>
      </w:r>
    </w:p>
  </w:comment>
  <w:comment w:id="4" w:author="John Kerr (Housing Dev &amp; Homeless Manager)" w:date="2021-06-07T16:34:00Z" w:initials="JK(D&amp;HM">
    <w:p w14:paraId="6DDF0D09" w14:textId="3D58B00D" w:rsidR="00AB0313" w:rsidRDefault="00AB0313" w:rsidP="00AD0451">
      <w:pPr>
        <w:pStyle w:val="CommentText"/>
      </w:pPr>
      <w:r>
        <w:rPr>
          <w:rStyle w:val="CommentReference"/>
        </w:rPr>
        <w:annotationRef/>
      </w:r>
      <w:r>
        <w:t>Supported by SOLACE and Local Authority Directors of Finance</w:t>
      </w:r>
    </w:p>
  </w:comment>
  <w:comment w:id="5" w:author="John Kerr (Housing Dev &amp; Homeless Manager)" w:date="2021-06-07T16:40:00Z" w:initials="JK(D&amp;HM">
    <w:p w14:paraId="21041492" w14:textId="77777777" w:rsidR="00AB0313" w:rsidRDefault="00AB0313" w:rsidP="006E76C3">
      <w:pPr>
        <w:pStyle w:val="CommentText"/>
      </w:pPr>
      <w:r>
        <w:rPr>
          <w:rStyle w:val="CommentReference"/>
        </w:rPr>
        <w:annotationRef/>
      </w:r>
      <w:r>
        <w:t>As discussed, there was a prevalent can do approach undertaken  by local authorities to deliver new housing supported by tenants and elected members.  This statistic should not be used as a  barometer of the existing benchmark regime.  ALACHO highlighted in our paper off 6</w:t>
      </w:r>
      <w:r w:rsidRPr="006E76C3">
        <w:rPr>
          <w:vertAlign w:val="superscript"/>
        </w:rPr>
        <w:t>th</w:t>
      </w:r>
      <w:r>
        <w:t xml:space="preserve"> May the following:- </w:t>
      </w:r>
    </w:p>
    <w:p w14:paraId="3495FA15" w14:textId="77777777" w:rsidR="00AB0313" w:rsidRDefault="00AB0313" w:rsidP="006E76C3">
      <w:pPr>
        <w:pStyle w:val="CommentText"/>
      </w:pPr>
    </w:p>
    <w:p w14:paraId="78A7D7AF" w14:textId="77777777" w:rsidR="00AB0313" w:rsidRDefault="00AB0313" w:rsidP="006E76C3">
      <w:pPr>
        <w:pStyle w:val="Default"/>
        <w:rPr>
          <w:color w:val="933634"/>
          <w:sz w:val="23"/>
          <w:szCs w:val="23"/>
        </w:rPr>
      </w:pPr>
      <w:r>
        <w:rPr>
          <w:color w:val="933634"/>
          <w:sz w:val="23"/>
          <w:szCs w:val="23"/>
        </w:rPr>
        <w:t xml:space="preserve">we do not accept the logic that this rationale is used to maintain an inequality in practice; if required we are happy to provide further examples of strategically important sites that did not progress because of an expectation that these wouldn’t be adequately funded. </w:t>
      </w:r>
    </w:p>
    <w:p w14:paraId="5A0A4F88" w14:textId="77777777" w:rsidR="00AB0313" w:rsidRDefault="00AB0313" w:rsidP="006E76C3">
      <w:pPr>
        <w:pStyle w:val="Default"/>
        <w:rPr>
          <w:color w:val="933634"/>
          <w:sz w:val="23"/>
          <w:szCs w:val="23"/>
        </w:rPr>
      </w:pPr>
    </w:p>
    <w:p w14:paraId="5899F117" w14:textId="77777777" w:rsidR="00AB0313" w:rsidRPr="006E76C3" w:rsidRDefault="00AB0313" w:rsidP="006E76C3">
      <w:pPr>
        <w:pStyle w:val="Default"/>
        <w:rPr>
          <w:color w:val="000000" w:themeColor="text1"/>
          <w:sz w:val="23"/>
          <w:szCs w:val="23"/>
        </w:rPr>
      </w:pPr>
      <w:r>
        <w:rPr>
          <w:color w:val="000000" w:themeColor="text1"/>
          <w:sz w:val="23"/>
          <w:szCs w:val="23"/>
        </w:rPr>
        <w:t>We have not been asked to provide this information despite the offer, therefore there is an element of disingenuity for this to be included.</w:t>
      </w:r>
    </w:p>
    <w:p w14:paraId="24C2F3A5" w14:textId="77777777" w:rsidR="00AB0313" w:rsidRDefault="00AB0313" w:rsidP="006E76C3">
      <w:pPr>
        <w:pStyle w:val="CommentText"/>
      </w:pPr>
    </w:p>
  </w:comment>
  <w:comment w:id="6" w:author="Tony Cain" w:date="2021-06-07T21:40:00Z" w:initials="TC">
    <w:p w14:paraId="368B0794" w14:textId="77777777" w:rsidR="001C4232" w:rsidRDefault="001C4232" w:rsidP="0088620E">
      <w:pPr>
        <w:pStyle w:val="CommentText"/>
      </w:pPr>
      <w:r>
        <w:rPr>
          <w:rStyle w:val="CommentReference"/>
        </w:rPr>
        <w:annotationRef/>
      </w:r>
      <w:r>
        <w:t>there is also the minor point that councils have been operating with grant rates of 38% compared to RSL rates of 55%.   Councils have, as we have made clear, working to a budget and an output target and this has meant taking a hit on grants.</w:t>
      </w:r>
    </w:p>
  </w:comment>
  <w:comment w:id="7" w:author="Tony Cain" w:date="2021-06-07T21:42:00Z" w:initials="TC">
    <w:p w14:paraId="5FDC4316" w14:textId="77777777" w:rsidR="0059122E" w:rsidRDefault="0059122E" w:rsidP="00565981">
      <w:pPr>
        <w:pStyle w:val="CommentText"/>
      </w:pPr>
      <w:r>
        <w:rPr>
          <w:rStyle w:val="CommentReference"/>
        </w:rPr>
        <w:annotationRef/>
      </w:r>
      <w:r>
        <w:t>as we have asked before, what is the policy objective that the differential serves?  what outcome is it intended to produce and how does the differential proposed relate to the supposed advantage in interest rates and the policy objective.</w:t>
      </w:r>
    </w:p>
  </w:comment>
  <w:comment w:id="8" w:author="John Kerr (Housing Dev &amp; Homeless Manager)" w:date="2021-06-07T16:41:00Z" w:initials="JK(D&amp;HM">
    <w:p w14:paraId="6609D72F" w14:textId="20067B7C" w:rsidR="00AB0313" w:rsidRDefault="00AB0313" w:rsidP="0059122E">
      <w:pPr>
        <w:pStyle w:val="CommentText"/>
      </w:pPr>
      <w:r>
        <w:rPr>
          <w:rStyle w:val="CommentReference"/>
        </w:rPr>
        <w:annotationRef/>
      </w:r>
      <w:r>
        <w:t>See comment 4</w:t>
      </w:r>
    </w:p>
  </w:comment>
  <w:comment w:id="9" w:author="John Kerr (Housing Dev &amp; Homeless Manager)" w:date="2021-06-07T17:17:00Z" w:initials="JK(D&amp;HM">
    <w:p w14:paraId="2291028A" w14:textId="77777777" w:rsidR="00AB0313" w:rsidRDefault="00AB0313">
      <w:pPr>
        <w:pStyle w:val="CommentText"/>
      </w:pPr>
      <w:r>
        <w:rPr>
          <w:rStyle w:val="CommentReference"/>
        </w:rPr>
        <w:annotationRef/>
      </w:r>
      <w:r>
        <w:t>Therefore why should a differential be built into the process?</w:t>
      </w:r>
    </w:p>
  </w:comment>
  <w:comment w:id="10" w:author="John Kerr (Housing Dev &amp; Homeless Manager)" w:date="2021-06-07T16:43:00Z" w:initials="JK(D&amp;HM">
    <w:p w14:paraId="301B2128" w14:textId="77777777" w:rsidR="00AB0313" w:rsidRDefault="00AB0313">
      <w:pPr>
        <w:pStyle w:val="CommentText"/>
      </w:pPr>
      <w:r>
        <w:rPr>
          <w:rStyle w:val="CommentReference"/>
        </w:rPr>
        <w:annotationRef/>
      </w:r>
      <w:r>
        <w:t>See comment 4 again.</w:t>
      </w:r>
    </w:p>
  </w:comment>
  <w:comment w:id="11" w:author="John Kerr (Housing Dev &amp; Homeless Manager)" w:date="2021-06-07T16:43:00Z" w:initials="JK(D&amp;HM">
    <w:p w14:paraId="1BD3B7C7" w14:textId="77777777" w:rsidR="00AB0313" w:rsidRDefault="00AB0313">
      <w:pPr>
        <w:pStyle w:val="CommentText"/>
      </w:pPr>
      <w:r>
        <w:rPr>
          <w:rStyle w:val="CommentReference"/>
        </w:rPr>
        <w:annotationRef/>
      </w:r>
      <w:r>
        <w:t>Is there evidence to support this assertion?</w:t>
      </w:r>
    </w:p>
  </w:comment>
  <w:comment w:id="12" w:author="Tony Cain" w:date="2021-06-07T21:44:00Z" w:initials="TC">
    <w:p w14:paraId="2C585B89" w14:textId="77777777" w:rsidR="002F423F" w:rsidRDefault="002F423F" w:rsidP="007979D8">
      <w:pPr>
        <w:pStyle w:val="CommentText"/>
      </w:pPr>
      <w:r>
        <w:rPr>
          <w:rStyle w:val="CommentReference"/>
        </w:rPr>
        <w:annotationRef/>
      </w:r>
      <w:r>
        <w:t>bearing in mind that councils don't borrow from investors so why would they have a view at all?  what else coudl be done to change the view of investors to the risk of lending to RSLs?</w:t>
      </w:r>
    </w:p>
  </w:comment>
  <w:comment w:id="13" w:author="John Kerr (Housing Dev &amp; Homeless Manager)" w:date="2021-06-07T16:54:00Z" w:initials="JK(D&amp;HM">
    <w:p w14:paraId="243E0245" w14:textId="54BC649E" w:rsidR="00AB0313" w:rsidRDefault="00AB0313" w:rsidP="002F423F">
      <w:pPr>
        <w:pStyle w:val="CommentText"/>
      </w:pPr>
      <w:r>
        <w:rPr>
          <w:rStyle w:val="CommentReference"/>
        </w:rPr>
        <w:annotationRef/>
      </w:r>
      <w:r>
        <w:t xml:space="preserve"> See comment 2, While this is factual it should be seen in the wider context, what is the value of this in council areas like West Dunbartonshire?</w:t>
      </w:r>
    </w:p>
  </w:comment>
  <w:comment w:id="14" w:author="Tony Cain" w:date="2021-06-07T21:46:00Z" w:initials="TC">
    <w:p w14:paraId="77D862C1" w14:textId="77777777" w:rsidR="003A1B04" w:rsidRDefault="003A1B04" w:rsidP="00086267">
      <w:pPr>
        <w:pStyle w:val="CommentText"/>
      </w:pPr>
      <w:r>
        <w:rPr>
          <w:rStyle w:val="CommentReference"/>
        </w:rPr>
        <w:annotationRef/>
      </w:r>
      <w:r>
        <w:t>More importantly it is a requirement of the reducing the council tax discount that the resources are genuinely additional and not used to substitute for others.  the SG's reasoning is both explicitly in contradiction of this requirement and ignores the fact that these are decisions that rest with local elected members.  it is not for SG officials to question those decisions in this context.</w:t>
      </w:r>
    </w:p>
  </w:comment>
  <w:comment w:id="15" w:author="Tony Cain" w:date="2021-06-07T21:47:00Z" w:initials="TC">
    <w:p w14:paraId="5C9A08E7" w14:textId="77777777" w:rsidR="00885E6E" w:rsidRDefault="00885E6E" w:rsidP="00223826">
      <w:pPr>
        <w:pStyle w:val="CommentText"/>
      </w:pPr>
      <w:r>
        <w:rPr>
          <w:rStyle w:val="CommentReference"/>
        </w:rPr>
        <w:annotationRef/>
      </w:r>
      <w:r>
        <w:t>to housing associations as well as thier own developments, similarly many councils make second homes council tax available to RSLs.</w:t>
      </w:r>
    </w:p>
  </w:comment>
  <w:comment w:id="16" w:author="John Kerr (Housing Dev &amp; Homeless Manager)" w:date="2021-06-07T16:57:00Z" w:initials="JK(D&amp;HM">
    <w:p w14:paraId="79E9D4A6" w14:textId="1C54683A" w:rsidR="00AB0313" w:rsidRDefault="00AB0313" w:rsidP="00885E6E">
      <w:pPr>
        <w:pStyle w:val="CommentText"/>
      </w:pPr>
      <w:r>
        <w:rPr>
          <w:rStyle w:val="CommentReference"/>
        </w:rPr>
        <w:annotationRef/>
      </w:r>
      <w:r>
        <w:t>May or Do, Based on this would that therefore suggest that a differential benchmark assumption should exist for larger RSLs and other RSLs?</w:t>
      </w:r>
    </w:p>
    <w:p w14:paraId="1A8FDE5E" w14:textId="77777777" w:rsidR="00AB0313" w:rsidRDefault="00AB0313">
      <w:pPr>
        <w:pStyle w:val="CommentText"/>
      </w:pPr>
    </w:p>
    <w:p w14:paraId="1C526B95" w14:textId="77777777" w:rsidR="00AB0313" w:rsidRDefault="00AB0313">
      <w:pPr>
        <w:pStyle w:val="CommentText"/>
      </w:pPr>
      <w:r>
        <w:t>ALACHO is not supportive of this and is why we have championed a single set of benchmark assumptions.</w:t>
      </w:r>
    </w:p>
  </w:comment>
  <w:comment w:id="17" w:author="John Kerr (Housing Dev &amp; Homeless Manager)" w:date="2021-06-07T17:23:00Z" w:initials="JK(D&amp;HM">
    <w:p w14:paraId="20F5E5C8" w14:textId="77777777" w:rsidR="005C2421" w:rsidRDefault="005C2421" w:rsidP="005C2421">
      <w:pPr>
        <w:pStyle w:val="CommentText"/>
      </w:pPr>
      <w:r>
        <w:rPr>
          <w:rStyle w:val="CommentReference"/>
        </w:rPr>
        <w:annotationRef/>
      </w:r>
      <w:r>
        <w:t>Lack of evidence  to suggest this, suggest deletion or production of evidence base.</w:t>
      </w:r>
    </w:p>
  </w:comment>
  <w:comment w:id="18" w:author="Tony Cain" w:date="2021-06-07T21:50:00Z" w:initials="TC">
    <w:p w14:paraId="51ACA067" w14:textId="77777777" w:rsidR="008D601F" w:rsidRDefault="008D601F" w:rsidP="00904F50">
      <w:pPr>
        <w:pStyle w:val="CommentText"/>
      </w:pPr>
      <w:r>
        <w:rPr>
          <w:rStyle w:val="CommentReference"/>
        </w:rPr>
        <w:annotationRef/>
      </w:r>
      <w:r>
        <w:t>This is tabloid accountancy, the margins we are talking about do not add %0% to the cost of a loan and changes around the length of a loan will have as much if not more impact.  The  question that the SG should be focusing on is what is the impact on rents and affordability?  current and existing grant rates will drive up rents.  how is that consistent with the SG's position on affordability and child poverty?</w:t>
      </w:r>
    </w:p>
  </w:comment>
  <w:comment w:id="19" w:author="John Kerr (Housing Dev &amp; Homeless Manager)" w:date="2021-06-07T16:59:00Z" w:initials="JK(D&amp;HM">
    <w:p w14:paraId="147CFB68" w14:textId="669275EB" w:rsidR="00AB0313" w:rsidRDefault="00AB0313" w:rsidP="008D601F">
      <w:pPr>
        <w:pStyle w:val="CommentText"/>
      </w:pPr>
      <w:r>
        <w:rPr>
          <w:rStyle w:val="CommentReference"/>
        </w:rPr>
        <w:annotationRef/>
      </w:r>
      <w:r>
        <w:t>I would disagree with this point.  If the Scottish Government are supportive of maintaining a differential it requires to be fully evidenced based.</w:t>
      </w:r>
    </w:p>
  </w:comment>
  <w:comment w:id="20" w:author="John Kerr (Housing Dev &amp; Homeless Manager)" w:date="2021-06-07T17:01:00Z" w:initials="JK(D&amp;HM">
    <w:p w14:paraId="19C57EC7" w14:textId="77777777" w:rsidR="00AB0313" w:rsidRDefault="00AB0313">
      <w:pPr>
        <w:pStyle w:val="CommentText"/>
      </w:pPr>
      <w:r>
        <w:rPr>
          <w:rStyle w:val="CommentReference"/>
        </w:rPr>
        <w:annotationRef/>
      </w:r>
      <w:r>
        <w:t>Disagree, has there been any discussion with the Local Authority Director of Finance representative who participates in this group in terms of this assertion</w:t>
      </w:r>
    </w:p>
  </w:comment>
  <w:comment w:id="21" w:author="John Kerr (Housing Dev &amp; Homeless Manager)" w:date="2021-06-07T17:10:00Z" w:initials="JK(D&amp;HM">
    <w:p w14:paraId="489D6266" w14:textId="77777777" w:rsidR="00AB0313" w:rsidRDefault="00AB0313">
      <w:pPr>
        <w:pStyle w:val="CommentText"/>
      </w:pPr>
      <w:r>
        <w:rPr>
          <w:rStyle w:val="CommentReference"/>
        </w:rPr>
        <w:annotationRef/>
      </w:r>
      <w:r>
        <w:t xml:space="preserve">I would agree that both sectors operate differently but there is no  basis or evidence to suggest that Councils operate in an advantageous environment. </w:t>
      </w:r>
    </w:p>
    <w:p w14:paraId="58D4AF2E" w14:textId="77777777" w:rsidR="00AB0313" w:rsidRDefault="00AB0313">
      <w:pPr>
        <w:pStyle w:val="CommentText"/>
      </w:pPr>
    </w:p>
    <w:p w14:paraId="72516687" w14:textId="77777777" w:rsidR="00AB0313" w:rsidRDefault="00AB0313">
      <w:pPr>
        <w:pStyle w:val="CommentText"/>
      </w:pPr>
      <w:r>
        <w:t xml:space="preserve">I have already commented on Council’s can do approach in delivering the previous shared commitment to deliver 50k new homes.  It is disappointing to see this positive approach be used to continue an inequality in practice going forward. </w:t>
      </w:r>
    </w:p>
    <w:p w14:paraId="37D73BAF" w14:textId="77777777" w:rsidR="00AB0313" w:rsidRDefault="00AB0313">
      <w:pPr>
        <w:pStyle w:val="CommentText"/>
      </w:pPr>
    </w:p>
    <w:p w14:paraId="57197F1E" w14:textId="77777777" w:rsidR="00AB0313" w:rsidRDefault="00AB0313">
      <w:pPr>
        <w:pStyle w:val="CommentText"/>
      </w:pPr>
      <w:r>
        <w:t>COSLA, ALACHO, SOLACE and Local Authority Directors of Finance do not  based on the evidence provided concur that the position outlined is reasonable</w:t>
      </w:r>
    </w:p>
    <w:p w14:paraId="082E73E0" w14:textId="77777777" w:rsidR="00AB0313" w:rsidRDefault="00AB0313">
      <w:pPr>
        <w:pStyle w:val="CommentText"/>
      </w:pPr>
    </w:p>
    <w:p w14:paraId="792000E8" w14:textId="77777777" w:rsidR="00AB0313" w:rsidRDefault="00AB0313">
      <w:pPr>
        <w:pStyle w:val="CommentText"/>
      </w:pPr>
    </w:p>
  </w:comment>
  <w:comment w:id="22" w:author="John Kerr (Housing Dev &amp; Homeless Manager)" w:date="2021-06-07T17:19:00Z" w:initials="JK(D&amp;HM">
    <w:p w14:paraId="5BCFCEBF" w14:textId="77777777" w:rsidR="00AB0313" w:rsidRDefault="00AB0313">
      <w:pPr>
        <w:pStyle w:val="CommentText"/>
      </w:pPr>
      <w:r>
        <w:rPr>
          <w:rStyle w:val="CommentReference"/>
        </w:rPr>
        <w:annotationRef/>
      </w:r>
      <w:r>
        <w:t>Agreed and a single set of benchmark assumptions would recognise this.</w:t>
      </w:r>
    </w:p>
  </w:comment>
  <w:comment w:id="23" w:author="Tony Cain" w:date="2021-06-07T21:53:00Z" w:initials="TC">
    <w:p w14:paraId="241552B3" w14:textId="77777777" w:rsidR="005774B8" w:rsidRDefault="005774B8" w:rsidP="007B1460">
      <w:pPr>
        <w:pStyle w:val="CommentText"/>
      </w:pPr>
      <w:r>
        <w:rPr>
          <w:rStyle w:val="CommentReference"/>
        </w:rPr>
        <w:annotationRef/>
      </w:r>
      <w:r>
        <w:t>I'm not sure I do agree, i see no reason why we should agree with a partial presentation of facts, a flawed rational and an inadequate articulation of a policy purpose or impact.</w:t>
      </w:r>
    </w:p>
  </w:comment>
  <w:comment w:id="24" w:author="Tony Cain" w:date="2021-06-07T21:54:00Z" w:initials="TC">
    <w:p w14:paraId="6996FC3D" w14:textId="77777777" w:rsidR="0036736A" w:rsidRDefault="0036736A" w:rsidP="00BF1603">
      <w:pPr>
        <w:pStyle w:val="CommentText"/>
      </w:pPr>
      <w:r>
        <w:rPr>
          <w:rStyle w:val="CommentReference"/>
        </w:rPr>
        <w:annotationRef/>
      </w:r>
      <w:r>
        <w:t>These figures relate to the most expensive 70% of new loans.  the remainder are shorter term and at rates well below 1%.  This is not an accurate presentation of the cost of borrowing.</w:t>
      </w:r>
    </w:p>
  </w:comment>
  <w:comment w:id="25" w:author="Tony Cain" w:date="2021-06-07T21:54:00Z" w:initials="TC">
    <w:p w14:paraId="4702AAB8" w14:textId="77777777" w:rsidR="0036736A" w:rsidRDefault="0036736A" w:rsidP="004C788A">
      <w:pPr>
        <w:pStyle w:val="CommentText"/>
      </w:pPr>
      <w:r>
        <w:rPr>
          <w:rStyle w:val="CommentReference"/>
        </w:rPr>
        <w:annotationRef/>
      </w:r>
      <w:r>
        <w:t>as a matter of form if they are going to refer to unpublished material they should let us see it.</w:t>
      </w:r>
    </w:p>
  </w:comment>
  <w:comment w:id="26" w:author="Tony Cain" w:date="2021-06-07T21:57:00Z" w:initials="TC">
    <w:p w14:paraId="27D2FE29" w14:textId="77777777" w:rsidR="005D2A02" w:rsidRDefault="005D2A02" w:rsidP="00731935">
      <w:pPr>
        <w:pStyle w:val="CommentText"/>
      </w:pPr>
      <w:r>
        <w:rPr>
          <w:rStyle w:val="CommentReference"/>
        </w:rPr>
        <w:annotationRef/>
      </w:r>
      <w:r>
        <w:t>i don't see this as much different to the overall approach to debt management that goes on in LAs</w:t>
      </w:r>
    </w:p>
  </w:comment>
  <w:comment w:id="27" w:author="Tony Cain" w:date="2021-06-07T22:01:00Z" w:initials="TC">
    <w:p w14:paraId="7EFA276A" w14:textId="77777777" w:rsidR="00FC74EB" w:rsidRDefault="00FC74EB" w:rsidP="00431EF6">
      <w:pPr>
        <w:pStyle w:val="CommentText"/>
      </w:pPr>
      <w:r>
        <w:rPr>
          <w:rStyle w:val="CommentReference"/>
        </w:rPr>
        <w:annotationRef/>
      </w:r>
      <w:r>
        <w:t xml:space="preserve">this is tabloid accounting.  the total cost of repaying a loan at 2.15% over 30 years is £205,092.  at 3.16% it is £234,061.  the difference between these two figure is 14% not 50%.  But again, what is the impact on rents? </w:t>
      </w:r>
    </w:p>
  </w:comment>
  <w:comment w:id="28" w:author="Tony Cain" w:date="2021-06-07T22:02:00Z" w:initials="TC">
    <w:p w14:paraId="75BAE3C5" w14:textId="77777777" w:rsidR="002368EF" w:rsidRDefault="002368EF" w:rsidP="006244F8">
      <w:pPr>
        <w:pStyle w:val="CommentText"/>
      </w:pPr>
      <w:r>
        <w:rPr>
          <w:rStyle w:val="CommentReference"/>
        </w:rPr>
        <w:annotationRef/>
      </w:r>
      <w:r>
        <w:t>fine, so compare the cost of all new loans for RSLs then.</w:t>
      </w:r>
    </w:p>
  </w:comment>
  <w:comment w:id="29" w:author="John Kerr (Housing Dev &amp; Homeless Manager)" w:date="2021-06-07T17:26:00Z" w:initials="JK(D&amp;HM">
    <w:p w14:paraId="4E3B6900" w14:textId="1DC0E9BD" w:rsidR="005C2421" w:rsidRDefault="005C2421" w:rsidP="002368EF">
      <w:pPr>
        <w:pStyle w:val="CommentText"/>
      </w:pPr>
      <w:r>
        <w:rPr>
          <w:rStyle w:val="CommentReference"/>
        </w:rPr>
        <w:annotationRef/>
      </w:r>
      <w:r>
        <w:t>This lacks a balanced approach it appears to have added to support a particular view point.</w:t>
      </w:r>
    </w:p>
  </w:comment>
  <w:comment w:id="30" w:author="Tony Cain" w:date="2021-06-07T22:04:00Z" w:initials="TC">
    <w:p w14:paraId="523959DB" w14:textId="77777777" w:rsidR="00AF5ED0" w:rsidRDefault="00AF5ED0" w:rsidP="00E502F2">
      <w:pPr>
        <w:pStyle w:val="CommentText"/>
      </w:pPr>
      <w:r>
        <w:rPr>
          <w:rStyle w:val="CommentReference"/>
        </w:rPr>
        <w:annotationRef/>
      </w:r>
      <w:r>
        <w:t>I think this would be of some value if there was any attempt to quantify the audit and other costs that Councils incurr complying with the statutory accounting, auditing and reporting requirements.</w:t>
      </w:r>
    </w:p>
  </w:comment>
  <w:comment w:id="31" w:author="Tony Cain" w:date="2021-06-07T22:07:00Z" w:initials="TC">
    <w:p w14:paraId="4574B97C" w14:textId="77777777" w:rsidR="00E52B5C" w:rsidRDefault="00E52B5C" w:rsidP="00D82531">
      <w:pPr>
        <w:pStyle w:val="CommentText"/>
      </w:pPr>
      <w:r>
        <w:rPr>
          <w:rStyle w:val="CommentReference"/>
        </w:rPr>
        <w:annotationRef/>
      </w:r>
      <w:r>
        <w:t>how has this been arrived at?  how does it reflect the assumed advantage in interest rates and how is it reflected in the wider accounts?  What, aside from pushing up rents is the intended outcome from the differential?  what behaviour does it incentivise or discourage?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8B6B60" w15:done="0"/>
  <w15:commentEx w15:paraId="6F6C6725" w15:paraIdParent="248B6B60" w15:done="0"/>
  <w15:commentEx w15:paraId="13A2F6B4" w15:done="0"/>
  <w15:commentEx w15:paraId="45C1F820" w15:paraIdParent="13A2F6B4" w15:done="0"/>
  <w15:commentEx w15:paraId="6DDF0D09" w15:done="0"/>
  <w15:commentEx w15:paraId="24C2F3A5" w15:done="0"/>
  <w15:commentEx w15:paraId="368B0794" w15:paraIdParent="24C2F3A5" w15:done="0"/>
  <w15:commentEx w15:paraId="5FDC4316" w15:done="0"/>
  <w15:commentEx w15:paraId="6609D72F" w15:done="0"/>
  <w15:commentEx w15:paraId="2291028A" w15:done="0"/>
  <w15:commentEx w15:paraId="301B2128" w15:done="0"/>
  <w15:commentEx w15:paraId="1BD3B7C7" w15:done="0"/>
  <w15:commentEx w15:paraId="2C585B89" w15:paraIdParent="1BD3B7C7" w15:done="0"/>
  <w15:commentEx w15:paraId="243E0245" w15:done="0"/>
  <w15:commentEx w15:paraId="77D862C1" w15:paraIdParent="243E0245" w15:done="0"/>
  <w15:commentEx w15:paraId="5C9A08E7" w15:done="0"/>
  <w15:commentEx w15:paraId="1C526B95" w15:done="0"/>
  <w15:commentEx w15:paraId="20F5E5C8" w15:done="0"/>
  <w15:commentEx w15:paraId="51ACA067" w15:paraIdParent="20F5E5C8" w15:done="0"/>
  <w15:commentEx w15:paraId="147CFB68" w15:done="0"/>
  <w15:commentEx w15:paraId="19C57EC7" w15:done="0"/>
  <w15:commentEx w15:paraId="792000E8" w15:done="0"/>
  <w15:commentEx w15:paraId="5BCFCEBF" w15:done="0"/>
  <w15:commentEx w15:paraId="241552B3" w15:paraIdParent="5BCFCEBF" w15:done="0"/>
  <w15:commentEx w15:paraId="6996FC3D" w15:done="0"/>
  <w15:commentEx w15:paraId="4702AAB8" w15:done="0"/>
  <w15:commentEx w15:paraId="27D2FE29" w15:done="0"/>
  <w15:commentEx w15:paraId="7EFA276A" w15:done="0"/>
  <w15:commentEx w15:paraId="75BAE3C5" w15:done="0"/>
  <w15:commentEx w15:paraId="4E3B6900" w15:done="0"/>
  <w15:commentEx w15:paraId="523959DB" w15:paraIdParent="4E3B6900" w15:done="0"/>
  <w15:commentEx w15:paraId="4574B9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0FB1" w16cex:dateUtc="2021-06-07T20:35:00Z"/>
  <w16cex:commentExtensible w16cex:durableId="2469105C" w16cex:dateUtc="2021-06-07T20:38:00Z"/>
  <w16cex:commentExtensible w16cex:durableId="246910E7" w16cex:dateUtc="2021-06-07T20:40:00Z"/>
  <w16cex:commentExtensible w16cex:durableId="24691143" w16cex:dateUtc="2021-06-07T20:42:00Z"/>
  <w16cex:commentExtensible w16cex:durableId="246911C9" w16cex:dateUtc="2021-06-07T20:44:00Z"/>
  <w16cex:commentExtensible w16cex:durableId="2469123A" w16cex:dateUtc="2021-06-07T20:46:00Z"/>
  <w16cex:commentExtensible w16cex:durableId="24691268" w16cex:dateUtc="2021-06-07T20:47:00Z"/>
  <w16cex:commentExtensible w16cex:durableId="2469131F" w16cex:dateUtc="2021-06-07T20:50:00Z"/>
  <w16cex:commentExtensible w16cex:durableId="246913C1" w16cex:dateUtc="2021-06-07T20:53:00Z"/>
  <w16cex:commentExtensible w16cex:durableId="24691408" w16cex:dateUtc="2021-06-07T20:54:00Z"/>
  <w16cex:commentExtensible w16cex:durableId="2469141E" w16cex:dateUtc="2021-06-07T20:54:00Z"/>
  <w16cex:commentExtensible w16cex:durableId="246914C7" w16cex:dateUtc="2021-06-07T20:57:00Z"/>
  <w16cex:commentExtensible w16cex:durableId="246915A1" w16cex:dateUtc="2021-06-07T21:01:00Z"/>
  <w16cex:commentExtensible w16cex:durableId="246915DD" w16cex:dateUtc="2021-06-07T21:02:00Z"/>
  <w16cex:commentExtensible w16cex:durableId="24691655" w16cex:dateUtc="2021-06-07T21:04:00Z"/>
  <w16cex:commentExtensible w16cex:durableId="24691711" w16cex:dateUtc="2021-06-07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B6B60" w16cid:durableId="24690F25"/>
  <w16cid:commentId w16cid:paraId="6F6C6725" w16cid:durableId="24690FB1"/>
  <w16cid:commentId w16cid:paraId="13A2F6B4" w16cid:durableId="24690F26"/>
  <w16cid:commentId w16cid:paraId="45C1F820" w16cid:durableId="2469105C"/>
  <w16cid:commentId w16cid:paraId="6DDF0D09" w16cid:durableId="24690F27"/>
  <w16cid:commentId w16cid:paraId="24C2F3A5" w16cid:durableId="24690F28"/>
  <w16cid:commentId w16cid:paraId="368B0794" w16cid:durableId="246910E7"/>
  <w16cid:commentId w16cid:paraId="5FDC4316" w16cid:durableId="24691143"/>
  <w16cid:commentId w16cid:paraId="6609D72F" w16cid:durableId="24690F29"/>
  <w16cid:commentId w16cid:paraId="2291028A" w16cid:durableId="24690F2A"/>
  <w16cid:commentId w16cid:paraId="301B2128" w16cid:durableId="24690F2B"/>
  <w16cid:commentId w16cid:paraId="1BD3B7C7" w16cid:durableId="24690F2C"/>
  <w16cid:commentId w16cid:paraId="2C585B89" w16cid:durableId="246911C9"/>
  <w16cid:commentId w16cid:paraId="243E0245" w16cid:durableId="24690F2D"/>
  <w16cid:commentId w16cid:paraId="77D862C1" w16cid:durableId="2469123A"/>
  <w16cid:commentId w16cid:paraId="5C9A08E7" w16cid:durableId="24691268"/>
  <w16cid:commentId w16cid:paraId="1C526B95" w16cid:durableId="24690F2E"/>
  <w16cid:commentId w16cid:paraId="20F5E5C8" w16cid:durableId="24690F2F"/>
  <w16cid:commentId w16cid:paraId="51ACA067" w16cid:durableId="2469131F"/>
  <w16cid:commentId w16cid:paraId="147CFB68" w16cid:durableId="24690F30"/>
  <w16cid:commentId w16cid:paraId="19C57EC7" w16cid:durableId="24690F31"/>
  <w16cid:commentId w16cid:paraId="792000E8" w16cid:durableId="24690F32"/>
  <w16cid:commentId w16cid:paraId="5BCFCEBF" w16cid:durableId="24690F33"/>
  <w16cid:commentId w16cid:paraId="241552B3" w16cid:durableId="246913C1"/>
  <w16cid:commentId w16cid:paraId="6996FC3D" w16cid:durableId="24691408"/>
  <w16cid:commentId w16cid:paraId="4702AAB8" w16cid:durableId="2469141E"/>
  <w16cid:commentId w16cid:paraId="27D2FE29" w16cid:durableId="246914C7"/>
  <w16cid:commentId w16cid:paraId="7EFA276A" w16cid:durableId="246915A1"/>
  <w16cid:commentId w16cid:paraId="75BAE3C5" w16cid:durableId="246915DD"/>
  <w16cid:commentId w16cid:paraId="4E3B6900" w16cid:durableId="24690F34"/>
  <w16cid:commentId w16cid:paraId="523959DB" w16cid:durableId="24691655"/>
  <w16cid:commentId w16cid:paraId="4574B97C" w16cid:durableId="246917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1A0B" w14:textId="77777777" w:rsidR="00AB0313" w:rsidRDefault="00AB0313" w:rsidP="00D47D3B">
      <w:r>
        <w:separator/>
      </w:r>
    </w:p>
  </w:endnote>
  <w:endnote w:type="continuationSeparator" w:id="0">
    <w:p w14:paraId="7A2F525A" w14:textId="77777777" w:rsidR="00AB0313" w:rsidRDefault="00AB0313" w:rsidP="00D4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1742241"/>
      <w:docPartObj>
        <w:docPartGallery w:val="Page Numbers (Bottom of Page)"/>
        <w:docPartUnique/>
      </w:docPartObj>
    </w:sdtPr>
    <w:sdtEndPr>
      <w:rPr>
        <w:rStyle w:val="PageNumber"/>
      </w:rPr>
    </w:sdtEndPr>
    <w:sdtContent>
      <w:p w14:paraId="6C9A71E3" w14:textId="77777777" w:rsidR="00AB0313" w:rsidRDefault="00AB0313" w:rsidP="00AB03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0FF99D" w14:textId="77777777" w:rsidR="00AB0313" w:rsidRDefault="00AB0313" w:rsidP="00D47D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1255093"/>
      <w:docPartObj>
        <w:docPartGallery w:val="Page Numbers (Bottom of Page)"/>
        <w:docPartUnique/>
      </w:docPartObj>
    </w:sdtPr>
    <w:sdtEndPr>
      <w:rPr>
        <w:rStyle w:val="PageNumber"/>
      </w:rPr>
    </w:sdtEndPr>
    <w:sdtContent>
      <w:p w14:paraId="5ACDA40C" w14:textId="77777777" w:rsidR="00AB0313" w:rsidRDefault="00AB0313" w:rsidP="00AB03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2421">
          <w:rPr>
            <w:rStyle w:val="PageNumber"/>
            <w:noProof/>
          </w:rPr>
          <w:t>6</w:t>
        </w:r>
        <w:r>
          <w:rPr>
            <w:rStyle w:val="PageNumber"/>
          </w:rPr>
          <w:fldChar w:fldCharType="end"/>
        </w:r>
      </w:p>
    </w:sdtContent>
  </w:sdt>
  <w:p w14:paraId="1E1B4E82" w14:textId="77777777" w:rsidR="00AB0313" w:rsidRDefault="00AB0313" w:rsidP="00D47D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DDCC" w14:textId="77777777" w:rsidR="00AB0313" w:rsidRDefault="00AB0313" w:rsidP="00D47D3B">
      <w:r>
        <w:separator/>
      </w:r>
    </w:p>
  </w:footnote>
  <w:footnote w:type="continuationSeparator" w:id="0">
    <w:p w14:paraId="3801B9FC" w14:textId="77777777" w:rsidR="00AB0313" w:rsidRDefault="00AB0313" w:rsidP="00D47D3B">
      <w:r>
        <w:continuationSeparator/>
      </w:r>
    </w:p>
  </w:footnote>
  <w:footnote w:id="1">
    <w:p w14:paraId="0BFF1D8D" w14:textId="77777777" w:rsidR="00AB0313" w:rsidRDefault="00AB0313">
      <w:pPr>
        <w:pStyle w:val="FootnoteText"/>
      </w:pPr>
      <w:r>
        <w:rPr>
          <w:rStyle w:val="FootnoteReference"/>
        </w:rPr>
        <w:footnoteRef/>
      </w:r>
      <w:r>
        <w:t xml:space="preserve"> </w:t>
      </w:r>
      <w:r w:rsidRPr="008F4C5F">
        <w:t>SG Quarterly Housing Stats</w:t>
      </w:r>
      <w:r>
        <w:t xml:space="preserve"> Dec 20</w:t>
      </w:r>
    </w:p>
  </w:footnote>
  <w:footnote w:id="2">
    <w:p w14:paraId="551D5455" w14:textId="77777777" w:rsidR="00AB0313" w:rsidRPr="00E752E3" w:rsidRDefault="00AB0313" w:rsidP="00E752E3">
      <w:pPr>
        <w:rPr>
          <w:rFonts w:ascii="Arial" w:hAnsi="Arial" w:cs="Arial"/>
          <w:color w:val="191919"/>
          <w:sz w:val="20"/>
          <w:shd w:val="clear" w:color="auto" w:fill="FFFFFF"/>
        </w:rPr>
      </w:pPr>
      <w:r>
        <w:rPr>
          <w:rStyle w:val="FootnoteReference"/>
        </w:rPr>
        <w:footnoteRef/>
      </w:r>
      <w:r>
        <w:t xml:space="preserve"> </w:t>
      </w:r>
      <w:r w:rsidRPr="008F4C5F">
        <w:rPr>
          <w:sz w:val="22"/>
        </w:rPr>
        <w:t xml:space="preserve">This is after the deduction of the 0.2% ‘Certainty </w:t>
      </w:r>
      <w:r w:rsidRPr="00E752E3">
        <w:rPr>
          <w:sz w:val="22"/>
        </w:rPr>
        <w:t>Rate’</w:t>
      </w:r>
      <w:r w:rsidRPr="00E752E3">
        <w:rPr>
          <w:sz w:val="20"/>
        </w:rPr>
        <w:t xml:space="preserve">: </w:t>
      </w:r>
      <w:r w:rsidRPr="00E752E3">
        <w:rPr>
          <w:rFonts w:ascii="Arial" w:hAnsi="Arial" w:cs="Arial"/>
          <w:color w:val="191919"/>
          <w:sz w:val="20"/>
          <w:shd w:val="clear" w:color="auto" w:fill="FFFFFF"/>
        </w:rPr>
        <w:t xml:space="preserve">From 1 November 2012, the government introduced the Certainty Rate which reduced the PWLB standard interest rate by 20 basis points (0.20%) on loans from PWLB to principal local authorities who provide information as required on their plans for long-term borrowing </w:t>
      </w:r>
      <w:r>
        <w:rPr>
          <w:rFonts w:ascii="Arial" w:hAnsi="Arial" w:cs="Arial"/>
          <w:color w:val="191919"/>
          <w:sz w:val="20"/>
          <w:shd w:val="clear" w:color="auto" w:fill="FFFFFF"/>
        </w:rPr>
        <w:t>and associated capital spending</w:t>
      </w:r>
      <w:r w:rsidRPr="00E752E3">
        <w:rPr>
          <w:rFonts w:ascii="Arial" w:hAnsi="Arial" w:cs="Arial"/>
          <w:color w:val="191919"/>
          <w:sz w:val="20"/>
          <w:shd w:val="clear" w:color="auto" w:fill="FFFFFF"/>
        </w:rPr>
        <w:t>. All Scottish councils signed up to this.</w:t>
      </w:r>
    </w:p>
    <w:p w14:paraId="61391DDD" w14:textId="77777777" w:rsidR="00AB0313" w:rsidRDefault="00AB031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21998"/>
    <w:multiLevelType w:val="hybridMultilevel"/>
    <w:tmpl w:val="CEE0036A"/>
    <w:lvl w:ilvl="0" w:tplc="8130A8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33561"/>
    <w:multiLevelType w:val="hybridMultilevel"/>
    <w:tmpl w:val="206402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1F00E49"/>
    <w:multiLevelType w:val="hybridMultilevel"/>
    <w:tmpl w:val="5DBA0EC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5E325C5C"/>
    <w:multiLevelType w:val="hybridMultilevel"/>
    <w:tmpl w:val="D6F0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ny Cain">
    <w15:presenceInfo w15:providerId="None" w15:userId="Tony C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E56"/>
    <w:rsid w:val="001C4232"/>
    <w:rsid w:val="002021B9"/>
    <w:rsid w:val="00224CC1"/>
    <w:rsid w:val="002368EF"/>
    <w:rsid w:val="002F423F"/>
    <w:rsid w:val="00313B7E"/>
    <w:rsid w:val="0036736A"/>
    <w:rsid w:val="003A1B04"/>
    <w:rsid w:val="00404E09"/>
    <w:rsid w:val="004470A0"/>
    <w:rsid w:val="00456554"/>
    <w:rsid w:val="004C3E70"/>
    <w:rsid w:val="004E510C"/>
    <w:rsid w:val="004E7426"/>
    <w:rsid w:val="004F75BB"/>
    <w:rsid w:val="0054195C"/>
    <w:rsid w:val="005774B8"/>
    <w:rsid w:val="0059122E"/>
    <w:rsid w:val="00592167"/>
    <w:rsid w:val="005B2320"/>
    <w:rsid w:val="005B4A6A"/>
    <w:rsid w:val="005C2421"/>
    <w:rsid w:val="005D2A02"/>
    <w:rsid w:val="006B7B9C"/>
    <w:rsid w:val="006E76C3"/>
    <w:rsid w:val="00784D73"/>
    <w:rsid w:val="007D2AEF"/>
    <w:rsid w:val="007D7BC6"/>
    <w:rsid w:val="007F1FFF"/>
    <w:rsid w:val="00852797"/>
    <w:rsid w:val="008543FD"/>
    <w:rsid w:val="00885E6E"/>
    <w:rsid w:val="00886E41"/>
    <w:rsid w:val="008B12EF"/>
    <w:rsid w:val="008C0F08"/>
    <w:rsid w:val="008C6AAF"/>
    <w:rsid w:val="008D2E56"/>
    <w:rsid w:val="008D601F"/>
    <w:rsid w:val="008F4C5F"/>
    <w:rsid w:val="00902C5F"/>
    <w:rsid w:val="00925280"/>
    <w:rsid w:val="009875D6"/>
    <w:rsid w:val="0099320C"/>
    <w:rsid w:val="009F05E3"/>
    <w:rsid w:val="00A249CE"/>
    <w:rsid w:val="00A5376C"/>
    <w:rsid w:val="00AB0313"/>
    <w:rsid w:val="00AD0451"/>
    <w:rsid w:val="00AD54D3"/>
    <w:rsid w:val="00AF5ED0"/>
    <w:rsid w:val="00B21001"/>
    <w:rsid w:val="00BC182E"/>
    <w:rsid w:val="00C0400E"/>
    <w:rsid w:val="00C161BF"/>
    <w:rsid w:val="00C23F3C"/>
    <w:rsid w:val="00C27F7E"/>
    <w:rsid w:val="00CA5DBC"/>
    <w:rsid w:val="00CF4C28"/>
    <w:rsid w:val="00CF5550"/>
    <w:rsid w:val="00D47D3B"/>
    <w:rsid w:val="00D9171E"/>
    <w:rsid w:val="00D9203B"/>
    <w:rsid w:val="00DC7C26"/>
    <w:rsid w:val="00DF0384"/>
    <w:rsid w:val="00E13521"/>
    <w:rsid w:val="00E52B5C"/>
    <w:rsid w:val="00E736FB"/>
    <w:rsid w:val="00E752E3"/>
    <w:rsid w:val="00E85BD0"/>
    <w:rsid w:val="00E97AA9"/>
    <w:rsid w:val="00EB6CB9"/>
    <w:rsid w:val="00EF0C27"/>
    <w:rsid w:val="00F156B3"/>
    <w:rsid w:val="00F2419A"/>
    <w:rsid w:val="00F56BBA"/>
    <w:rsid w:val="00F96EC7"/>
    <w:rsid w:val="00FB57E6"/>
    <w:rsid w:val="00FC74EB"/>
    <w:rsid w:val="00FE63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A9B7"/>
  <w15:docId w15:val="{0C1C2A0E-6149-479E-BF1C-99250AF0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71E"/>
    <w:pPr>
      <w:ind w:left="720"/>
      <w:contextualSpacing/>
    </w:pPr>
  </w:style>
  <w:style w:type="table" w:styleId="TableGrid">
    <w:name w:val="Table Grid"/>
    <w:basedOn w:val="TableNormal"/>
    <w:uiPriority w:val="39"/>
    <w:rsid w:val="00D91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7D3B"/>
    <w:pPr>
      <w:tabs>
        <w:tab w:val="center" w:pos="4680"/>
        <w:tab w:val="right" w:pos="9360"/>
      </w:tabs>
    </w:pPr>
  </w:style>
  <w:style w:type="character" w:customStyle="1" w:styleId="FooterChar">
    <w:name w:val="Footer Char"/>
    <w:basedOn w:val="DefaultParagraphFont"/>
    <w:link w:val="Footer"/>
    <w:uiPriority w:val="99"/>
    <w:rsid w:val="00D47D3B"/>
  </w:style>
  <w:style w:type="character" w:styleId="PageNumber">
    <w:name w:val="page number"/>
    <w:basedOn w:val="DefaultParagraphFont"/>
    <w:uiPriority w:val="99"/>
    <w:semiHidden/>
    <w:unhideWhenUsed/>
    <w:rsid w:val="00D47D3B"/>
  </w:style>
  <w:style w:type="paragraph" w:styleId="EndnoteText">
    <w:name w:val="endnote text"/>
    <w:basedOn w:val="Normal"/>
    <w:link w:val="EndnoteTextChar"/>
    <w:uiPriority w:val="99"/>
    <w:semiHidden/>
    <w:unhideWhenUsed/>
    <w:rsid w:val="00E752E3"/>
    <w:rPr>
      <w:sz w:val="20"/>
      <w:szCs w:val="20"/>
    </w:rPr>
  </w:style>
  <w:style w:type="character" w:customStyle="1" w:styleId="EndnoteTextChar">
    <w:name w:val="Endnote Text Char"/>
    <w:basedOn w:val="DefaultParagraphFont"/>
    <w:link w:val="EndnoteText"/>
    <w:uiPriority w:val="99"/>
    <w:semiHidden/>
    <w:rsid w:val="00E752E3"/>
    <w:rPr>
      <w:sz w:val="20"/>
      <w:szCs w:val="20"/>
    </w:rPr>
  </w:style>
  <w:style w:type="character" w:styleId="EndnoteReference">
    <w:name w:val="endnote reference"/>
    <w:basedOn w:val="DefaultParagraphFont"/>
    <w:uiPriority w:val="99"/>
    <w:semiHidden/>
    <w:unhideWhenUsed/>
    <w:rsid w:val="00E752E3"/>
    <w:rPr>
      <w:vertAlign w:val="superscript"/>
    </w:rPr>
  </w:style>
  <w:style w:type="paragraph" w:styleId="FootnoteText">
    <w:name w:val="footnote text"/>
    <w:basedOn w:val="Normal"/>
    <w:link w:val="FootnoteTextChar"/>
    <w:uiPriority w:val="99"/>
    <w:semiHidden/>
    <w:unhideWhenUsed/>
    <w:rsid w:val="00E752E3"/>
    <w:rPr>
      <w:sz w:val="20"/>
      <w:szCs w:val="20"/>
    </w:rPr>
  </w:style>
  <w:style w:type="character" w:customStyle="1" w:styleId="FootnoteTextChar">
    <w:name w:val="Footnote Text Char"/>
    <w:basedOn w:val="DefaultParagraphFont"/>
    <w:link w:val="FootnoteText"/>
    <w:uiPriority w:val="99"/>
    <w:semiHidden/>
    <w:rsid w:val="00E752E3"/>
    <w:rPr>
      <w:sz w:val="20"/>
      <w:szCs w:val="20"/>
    </w:rPr>
  </w:style>
  <w:style w:type="character" w:styleId="FootnoteReference">
    <w:name w:val="footnote reference"/>
    <w:basedOn w:val="DefaultParagraphFont"/>
    <w:uiPriority w:val="99"/>
    <w:semiHidden/>
    <w:unhideWhenUsed/>
    <w:rsid w:val="00E752E3"/>
    <w:rPr>
      <w:vertAlign w:val="superscript"/>
    </w:rPr>
  </w:style>
  <w:style w:type="character" w:styleId="CommentReference">
    <w:name w:val="annotation reference"/>
    <w:basedOn w:val="DefaultParagraphFont"/>
    <w:uiPriority w:val="99"/>
    <w:semiHidden/>
    <w:unhideWhenUsed/>
    <w:rsid w:val="006E76C3"/>
    <w:rPr>
      <w:sz w:val="16"/>
      <w:szCs w:val="16"/>
    </w:rPr>
  </w:style>
  <w:style w:type="paragraph" w:styleId="CommentText">
    <w:name w:val="annotation text"/>
    <w:basedOn w:val="Normal"/>
    <w:link w:val="CommentTextChar"/>
    <w:uiPriority w:val="99"/>
    <w:unhideWhenUsed/>
    <w:rsid w:val="006E76C3"/>
    <w:rPr>
      <w:sz w:val="20"/>
      <w:szCs w:val="20"/>
    </w:rPr>
  </w:style>
  <w:style w:type="character" w:customStyle="1" w:styleId="CommentTextChar">
    <w:name w:val="Comment Text Char"/>
    <w:basedOn w:val="DefaultParagraphFont"/>
    <w:link w:val="CommentText"/>
    <w:uiPriority w:val="99"/>
    <w:rsid w:val="006E76C3"/>
    <w:rPr>
      <w:sz w:val="20"/>
      <w:szCs w:val="20"/>
    </w:rPr>
  </w:style>
  <w:style w:type="paragraph" w:styleId="CommentSubject">
    <w:name w:val="annotation subject"/>
    <w:basedOn w:val="CommentText"/>
    <w:next w:val="CommentText"/>
    <w:link w:val="CommentSubjectChar"/>
    <w:uiPriority w:val="99"/>
    <w:semiHidden/>
    <w:unhideWhenUsed/>
    <w:rsid w:val="006E76C3"/>
    <w:rPr>
      <w:b/>
      <w:bCs/>
    </w:rPr>
  </w:style>
  <w:style w:type="character" w:customStyle="1" w:styleId="CommentSubjectChar">
    <w:name w:val="Comment Subject Char"/>
    <w:basedOn w:val="CommentTextChar"/>
    <w:link w:val="CommentSubject"/>
    <w:uiPriority w:val="99"/>
    <w:semiHidden/>
    <w:rsid w:val="006E76C3"/>
    <w:rPr>
      <w:b/>
      <w:bCs/>
      <w:sz w:val="20"/>
      <w:szCs w:val="20"/>
    </w:rPr>
  </w:style>
  <w:style w:type="paragraph" w:styleId="BalloonText">
    <w:name w:val="Balloon Text"/>
    <w:basedOn w:val="Normal"/>
    <w:link w:val="BalloonTextChar"/>
    <w:uiPriority w:val="99"/>
    <w:semiHidden/>
    <w:unhideWhenUsed/>
    <w:rsid w:val="006E76C3"/>
    <w:rPr>
      <w:rFonts w:ascii="Tahoma" w:hAnsi="Tahoma" w:cs="Tahoma"/>
      <w:sz w:val="16"/>
      <w:szCs w:val="16"/>
    </w:rPr>
  </w:style>
  <w:style w:type="character" w:customStyle="1" w:styleId="BalloonTextChar">
    <w:name w:val="Balloon Text Char"/>
    <w:basedOn w:val="DefaultParagraphFont"/>
    <w:link w:val="BalloonText"/>
    <w:uiPriority w:val="99"/>
    <w:semiHidden/>
    <w:rsid w:val="006E76C3"/>
    <w:rPr>
      <w:rFonts w:ascii="Tahoma" w:hAnsi="Tahoma" w:cs="Tahoma"/>
      <w:sz w:val="16"/>
      <w:szCs w:val="16"/>
    </w:rPr>
  </w:style>
  <w:style w:type="paragraph" w:customStyle="1" w:styleId="Default">
    <w:name w:val="Default"/>
    <w:rsid w:val="006E76C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12403">
      <w:bodyDiv w:val="1"/>
      <w:marLeft w:val="0"/>
      <w:marRight w:val="0"/>
      <w:marTop w:val="0"/>
      <w:marBottom w:val="0"/>
      <w:divBdr>
        <w:top w:val="none" w:sz="0" w:space="0" w:color="auto"/>
        <w:left w:val="none" w:sz="0" w:space="0" w:color="auto"/>
        <w:bottom w:val="none" w:sz="0" w:space="0" w:color="auto"/>
        <w:right w:val="none" w:sz="0" w:space="0" w:color="auto"/>
      </w:divBdr>
    </w:div>
    <w:div w:id="12119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6EF5B-36F1-4823-8F78-C59ABD88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turley</dc:creator>
  <cp:lastModifiedBy>Tony Cain</cp:lastModifiedBy>
  <cp:revision>18</cp:revision>
  <dcterms:created xsi:type="dcterms:W3CDTF">2021-06-07T20:34:00Z</dcterms:created>
  <dcterms:modified xsi:type="dcterms:W3CDTF">2021-06-07T21:07:00Z</dcterms:modified>
</cp:coreProperties>
</file>